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sz w:val="44"/>
          <w:szCs w:val="44"/>
        </w:rPr>
        <w:t xml:space="preserve">Wells We Didn't Dig</w:t>
      </w:r>
    </w:p>
    <w:p>
      <w:pPr>
        <w:spacing w:after="180"/>
      </w:pPr>
      <w:r>
        <w:rPr>
          <w:rFonts w:ascii="Calibri" w:cs="Calibri" w:eastAsia="Calibri" w:hAnsi="Calibri"/>
          <w:i/>
          <w:iCs/>
          <w:color w:val="555555"/>
          <w:sz w:val="23"/>
          <w:szCs w:val="23"/>
        </w:rPr>
        <w:t xml:space="preserve">September 13 - October 4, 2026</w:t>
      </w:r>
    </w:p>
    <w:p>
      <w:pPr>
        <w:pBdr>
          <w:bottom w:val="single" w:color="BBBBBB" w:sz="6" w:space="1"/>
        </w:pBdr>
        <w:spacing w:after="280" w:before="120"/>
      </w:pPr>
      <w:r>
        <w:rPr>
          <w:sz w:val="2"/>
          <w:szCs w:val="2"/>
        </w:rPr>
        <w:t xml:space="preserve"/>
      </w:r>
    </w:p>
    <w:p>
      <w:pPr>
        <w:pStyle w:val="Heading1"/>
        <w:spacing w:after="160" w:before="360"/>
      </w:pPr>
      <w:r>
        <w:rPr>
          <w:rFonts w:ascii="Calibri" w:cs="Calibri" w:eastAsia="Calibri" w:hAnsi="Calibri"/>
          <w:b/>
          <w:bCs/>
          <w:sz w:val="28"/>
          <w:szCs w:val="28"/>
        </w:rPr>
        <w:t xml:space="preserve">Overview</w:t>
      </w:r>
    </w:p>
    <w:p>
      <w:pPr>
        <w:spacing w:after="200" w:line="320"/>
      </w:pPr>
      <w:r>
        <w:rPr>
          <w:rFonts w:ascii="Calibri" w:cs="Calibri" w:eastAsia="Calibri" w:hAnsi="Calibri"/>
          <w:b w:val="false"/>
          <w:bCs w:val="false"/>
          <w:i w:val="false"/>
          <w:iCs w:val="false"/>
          <w:sz w:val="24"/>
          <w:szCs w:val="24"/>
        </w:rPr>
        <w:t xml:space="preserve">Wells We Didn't Dig is our 2026 commitment series. Each year we spend these weeks recommitting, or committing for the first time, to the shared work of being the church, and the series ends on Commitment Sunday, October 4, when we return our commitment cards and receive the new SFUMC Guidebook. The series takes its name from Deuteronomy 6, where Moses tells Israel they are about to inherit a land full of good things they did nothing to produce, including, in the NIV's rendering, “wells you did not dig.” The instruction that follows the gift is a warning about memory: when you eat and are satisfied, be careful that you do not forget.</w:t>
      </w:r>
    </w:p>
    <w:p>
      <w:pPr>
        <w:spacing w:after="200" w:line="320"/>
      </w:pPr>
      <w:r>
        <w:rPr>
          <w:rFonts w:ascii="Calibri" w:cs="Calibri" w:eastAsia="Calibri" w:hAnsi="Calibri"/>
          <w:b w:val="false"/>
          <w:bCs w:val="false"/>
          <w:i w:val="false"/>
          <w:iCs w:val="false"/>
          <w:sz w:val="24"/>
          <w:szCs w:val="24"/>
        </w:rPr>
        <w:t xml:space="preserve">The aim of the series is gratitude that turns into commitment. Nearly everything we love about our church was paid for and prayed over by people who never met us. That is true of every congregation, but it is not an abstraction for ours. Over the last two years this congregation has learned exactly what it costs to keep a well open, and the people sitting in our pews are the reason the water is still running. This series tells that story out loud and invites every hearer to take a place among the diggers.</w:t>
      </w:r>
    </w:p>
    <w:p>
      <w:pPr>
        <w:spacing w:after="200" w:line="320"/>
      </w:pPr>
      <w:r>
        <w:rPr>
          <w:rFonts w:ascii="Calibri" w:cs="Calibri" w:eastAsia="Calibri" w:hAnsi="Calibri"/>
          <w:b w:val="false"/>
          <w:bCs w:val="false"/>
          <w:i w:val="false"/>
          <w:iCs w:val="false"/>
          <w:sz w:val="24"/>
          <w:szCs w:val="24"/>
        </w:rPr>
        <w:t xml:space="preserve">A successful series will change what people hear when they put a name on a commitment card. The card is not a budget instrument. It is how a person joins a line of people who dug wells they would never drink from, so that someone not yet here will one day drink from ours. By October 4, hearers should be able to name a well someone dug for them and name the one they intend to help dig.</w:t>
      </w:r>
    </w:p>
    <w:p>
      <w:pPr>
        <w:pStyle w:val="Heading1"/>
        <w:spacing w:after="160" w:before="360"/>
      </w:pPr>
      <w:r>
        <w:rPr>
          <w:rFonts w:ascii="Calibri" w:cs="Calibri" w:eastAsia="Calibri" w:hAnsi="Calibri"/>
          <w:b/>
          <w:bCs/>
          <w:sz w:val="28"/>
          <w:szCs w:val="28"/>
        </w:rPr>
        <w:t xml:space="preserve">A Particular Aim: Commitment Sunday</w:t>
      </w:r>
    </w:p>
    <w:p>
      <w:pPr>
        <w:spacing w:after="200" w:line="320"/>
      </w:pPr>
      <w:r>
        <w:rPr>
          <w:rFonts w:ascii="Calibri" w:cs="Calibri" w:eastAsia="Calibri" w:hAnsi="Calibri"/>
          <w:b w:val="false"/>
          <w:bCs w:val="false"/>
          <w:i w:val="false"/>
          <w:iCs w:val="false"/>
          <w:sz w:val="24"/>
          <w:szCs w:val="24"/>
        </w:rPr>
        <w:t xml:space="preserve">Everything in this series points at October 4. On that Sunday we will return commitment cards, hand every household the new SFUMC Guidebook, and renew the membership vows in the liturgy. The vows have anchored the preaching of our last two commitment seasons, so this year they live in the service itself rather than in the sermons. Each week of the series should keep Commitment Sunday in view as the destination.</w:t>
      </w:r>
    </w:p>
    <w:p>
      <w:pPr>
        <w:pStyle w:val="Heading1"/>
        <w:spacing w:after="160" w:before="360"/>
      </w:pPr>
      <w:r>
        <w:rPr>
          <w:rFonts w:ascii="Calibri" w:cs="Calibri" w:eastAsia="Calibri" w:hAnsi="Calibri"/>
          <w:b/>
          <w:bCs/>
          <w:sz w:val="28"/>
          <w:szCs w:val="28"/>
        </w:rPr>
        <w:t xml:space="preserve">Sermon Schedule</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900"/>
        <w:gridCol w:w="2200"/>
        <w:gridCol w:w="2500"/>
        <w:gridCol w:w="900"/>
        <w:gridCol w:w="3220"/>
      </w:tblGrid>
      <w:tr>
        <w:tc>
          <w:tcPr>
            <w:tcW w:type="dxa" w:w="900"/>
            <w:shd w:fill="EFEFEF" w:val="clear"/>
          </w:tcPr>
          <w:p>
            <w:pPr>
              <w:spacing w:after="60" w:before="60"/>
            </w:pPr>
            <w:r>
              <w:rPr>
                <w:rFonts w:ascii="Calibri" w:cs="Calibri" w:eastAsia="Calibri" w:hAnsi="Calibri"/>
                <w:b/>
                <w:bCs/>
                <w:sz w:val="21"/>
                <w:szCs w:val="21"/>
              </w:rPr>
              <w:t xml:space="preserve">Sunday</w:t>
            </w:r>
          </w:p>
        </w:tc>
        <w:tc>
          <w:tcPr>
            <w:tcW w:type="dxa" w:w="2200"/>
            <w:shd w:fill="EFEFEF" w:val="clear"/>
          </w:tcPr>
          <w:p>
            <w:pPr>
              <w:spacing w:after="60" w:before="60"/>
            </w:pPr>
            <w:r>
              <w:rPr>
                <w:rFonts w:ascii="Calibri" w:cs="Calibri" w:eastAsia="Calibri" w:hAnsi="Calibri"/>
                <w:b/>
                <w:bCs/>
                <w:sz w:val="21"/>
                <w:szCs w:val="21"/>
              </w:rPr>
              <w:t xml:space="preserve">Sermon Title</w:t>
            </w:r>
          </w:p>
        </w:tc>
        <w:tc>
          <w:tcPr>
            <w:tcW w:type="dxa" w:w="2500"/>
            <w:shd w:fill="EFEFEF" w:val="clear"/>
          </w:tcPr>
          <w:p>
            <w:pPr>
              <w:spacing w:after="60" w:before="60"/>
            </w:pPr>
            <w:r>
              <w:rPr>
                <w:rFonts w:ascii="Calibri" w:cs="Calibri" w:eastAsia="Calibri" w:hAnsi="Calibri"/>
                <w:b/>
                <w:bCs/>
                <w:sz w:val="21"/>
                <w:szCs w:val="21"/>
              </w:rPr>
              <w:t xml:space="preserve">Scripture</w:t>
            </w:r>
          </w:p>
        </w:tc>
        <w:tc>
          <w:tcPr>
            <w:tcW w:type="dxa" w:w="900"/>
            <w:shd w:fill="EFEFEF" w:val="clear"/>
          </w:tcPr>
          <w:p>
            <w:pPr>
              <w:spacing w:after="60" w:before="60"/>
            </w:pPr>
            <w:r>
              <w:rPr>
                <w:rFonts w:ascii="Calibri" w:cs="Calibri" w:eastAsia="Calibri" w:hAnsi="Calibri"/>
                <w:b/>
                <w:bCs/>
                <w:sz w:val="21"/>
                <w:szCs w:val="21"/>
              </w:rPr>
              <w:t xml:space="preserve">Lead Writer</w:t>
            </w:r>
          </w:p>
        </w:tc>
        <w:tc>
          <w:tcPr>
            <w:tcW w:type="dxa" w:w="3220"/>
            <w:shd w:fill="EFEFEF" w:val="clear"/>
          </w:tcPr>
          <w:p>
            <w:pPr>
              <w:spacing w:after="60" w:before="60"/>
            </w:pPr>
            <w:r>
              <w:rPr>
                <w:rFonts w:ascii="Calibri" w:cs="Calibri" w:eastAsia="Calibri" w:hAnsi="Calibri"/>
                <w:b/>
                <w:bCs/>
                <w:sz w:val="21"/>
                <w:szCs w:val="21"/>
              </w:rPr>
              <w:t xml:space="preserve">Supplemental Scriptures</w:t>
            </w:r>
          </w:p>
        </w:tc>
      </w:tr>
      <w:tr>
        <w:tc>
          <w:tcPr>
            <w:tcW w:type="dxa" w:w="900"/>
          </w:tcPr>
          <w:p>
            <w:pPr>
              <w:spacing w:after="60" w:before="60"/>
            </w:pPr>
            <w:r>
              <w:rPr>
                <w:rFonts w:ascii="Calibri" w:cs="Calibri" w:eastAsia="Calibri" w:hAnsi="Calibri"/>
                <w:b w:val="false"/>
                <w:bCs w:val="false"/>
                <w:sz w:val="21"/>
                <w:szCs w:val="21"/>
              </w:rPr>
              <w:t xml:space="preserve">9/13</w:t>
            </w:r>
          </w:p>
        </w:tc>
        <w:tc>
          <w:tcPr>
            <w:tcW w:type="dxa" w:w="2200"/>
          </w:tcPr>
          <w:p>
            <w:pPr>
              <w:spacing w:after="60" w:before="60"/>
            </w:pPr>
            <w:r>
              <w:rPr>
                <w:rFonts w:ascii="Calibri" w:cs="Calibri" w:eastAsia="Calibri" w:hAnsi="Calibri"/>
                <w:b w:val="false"/>
                <w:bCs w:val="false"/>
                <w:sz w:val="21"/>
                <w:szCs w:val="21"/>
              </w:rPr>
              <w:t xml:space="preserve">Wells We Didn't Dig</w:t>
            </w:r>
          </w:p>
        </w:tc>
        <w:tc>
          <w:tcPr>
            <w:tcW w:type="dxa" w:w="2500"/>
          </w:tcPr>
          <w:p>
            <w:pPr>
              <w:spacing w:after="60" w:before="60"/>
            </w:pPr>
            <w:r>
              <w:rPr>
                <w:rFonts w:ascii="Calibri" w:cs="Calibri" w:eastAsia="Calibri" w:hAnsi="Calibri"/>
                <w:b w:val="false"/>
                <w:bCs w:val="false"/>
                <w:sz w:val="21"/>
                <w:szCs w:val="21"/>
              </w:rPr>
              <w:t xml:space="preserve">Deuteronomy 6:10-12</w:t>
            </w:r>
          </w:p>
        </w:tc>
        <w:tc>
          <w:tcPr>
            <w:tcW w:type="dxa" w:w="900"/>
          </w:tcPr>
          <w:p>
            <w:pPr>
              <w:spacing w:after="60" w:before="60"/>
            </w:pPr>
            <w:r>
              <w:rPr>
                <w:rFonts w:ascii="Calibri" w:cs="Calibri" w:eastAsia="Calibri" w:hAnsi="Calibri"/>
                <w:b w:val="false"/>
                <w:bCs w:val="false"/>
                <w:sz w:val="21"/>
                <w:szCs w:val="21"/>
              </w:rPr>
              <w:t xml:space="preserve">Woods</w:t>
            </w:r>
          </w:p>
        </w:tc>
        <w:tc>
          <w:tcPr>
            <w:tcW w:type="dxa" w:w="3220"/>
          </w:tcPr>
          <w:p>
            <w:pPr>
              <w:spacing w:after="60" w:before="60"/>
            </w:pPr>
            <w:r>
              <w:rPr>
                <w:rFonts w:ascii="Calibri" w:cs="Calibri" w:eastAsia="Calibri" w:hAnsi="Calibri"/>
                <w:b w:val="false"/>
                <w:bCs w:val="false"/>
                <w:sz w:val="21"/>
                <w:szCs w:val="21"/>
              </w:rPr>
              <w:t xml:space="preserve">Luke 22:10-13, Joshua 24:13, Psalm 16:5-6</w:t>
            </w:r>
          </w:p>
        </w:tc>
      </w:tr>
      <w:tr>
        <w:tc>
          <w:tcPr>
            <w:tcW w:type="dxa" w:w="900"/>
          </w:tcPr>
          <w:p>
            <w:pPr>
              <w:spacing w:after="60" w:before="60"/>
            </w:pPr>
            <w:r>
              <w:rPr>
                <w:rFonts w:ascii="Calibri" w:cs="Calibri" w:eastAsia="Calibri" w:hAnsi="Calibri"/>
                <w:b w:val="false"/>
                <w:bCs w:val="false"/>
                <w:sz w:val="21"/>
                <w:szCs w:val="21"/>
              </w:rPr>
              <w:t xml:space="preserve">9/20</w:t>
            </w:r>
          </w:p>
        </w:tc>
        <w:tc>
          <w:tcPr>
            <w:tcW w:type="dxa" w:w="2200"/>
          </w:tcPr>
          <w:p>
            <w:pPr>
              <w:spacing w:after="60" w:before="60"/>
            </w:pPr>
            <w:r>
              <w:rPr>
                <w:rFonts w:ascii="Calibri" w:cs="Calibri" w:eastAsia="Calibri" w:hAnsi="Calibri"/>
                <w:b w:val="false"/>
                <w:bCs w:val="false"/>
                <w:sz w:val="21"/>
                <w:szCs w:val="21"/>
              </w:rPr>
              <w:t xml:space="preserve">Planted and Watered</w:t>
            </w:r>
          </w:p>
        </w:tc>
        <w:tc>
          <w:tcPr>
            <w:tcW w:type="dxa" w:w="2500"/>
          </w:tcPr>
          <w:p>
            <w:pPr>
              <w:spacing w:after="60" w:before="60"/>
            </w:pPr>
            <w:r>
              <w:rPr>
                <w:rFonts w:ascii="Calibri" w:cs="Calibri" w:eastAsia="Calibri" w:hAnsi="Calibri"/>
                <w:b w:val="false"/>
                <w:bCs w:val="false"/>
                <w:sz w:val="21"/>
                <w:szCs w:val="21"/>
              </w:rPr>
              <w:t xml:space="preserve">1 Corinthians 3:5-9</w:t>
            </w:r>
          </w:p>
        </w:tc>
        <w:tc>
          <w:tcPr>
            <w:tcW w:type="dxa" w:w="900"/>
          </w:tcPr>
          <w:p>
            <w:pPr>
              <w:spacing w:after="60" w:before="60"/>
            </w:pPr>
            <w:r>
              <w:rPr>
                <w:rFonts w:ascii="Calibri" w:cs="Calibri" w:eastAsia="Calibri" w:hAnsi="Calibri"/>
                <w:b w:val="false"/>
                <w:bCs w:val="false"/>
                <w:sz w:val="21"/>
                <w:szCs w:val="21"/>
              </w:rPr>
              <w:t xml:space="preserve">Woods</w:t>
            </w:r>
          </w:p>
        </w:tc>
        <w:tc>
          <w:tcPr>
            <w:tcW w:type="dxa" w:w="3220"/>
          </w:tcPr>
          <w:p>
            <w:pPr>
              <w:spacing w:after="60" w:before="60"/>
            </w:pPr>
            <w:r>
              <w:rPr>
                <w:rFonts w:ascii="Calibri" w:cs="Calibri" w:eastAsia="Calibri" w:hAnsi="Calibri"/>
                <w:b w:val="false"/>
                <w:bCs w:val="false"/>
                <w:sz w:val="21"/>
                <w:szCs w:val="21"/>
              </w:rPr>
              <w:t xml:space="preserve">Mark 4:26-29, Psalm 127:1, Nehemiah 2:17-18</w:t>
            </w:r>
          </w:p>
        </w:tc>
      </w:tr>
      <w:tr>
        <w:tc>
          <w:tcPr>
            <w:tcW w:type="dxa" w:w="900"/>
          </w:tcPr>
          <w:p>
            <w:pPr>
              <w:spacing w:after="60" w:before="60"/>
            </w:pPr>
            <w:r>
              <w:rPr>
                <w:rFonts w:ascii="Calibri" w:cs="Calibri" w:eastAsia="Calibri" w:hAnsi="Calibri"/>
                <w:b w:val="false"/>
                <w:bCs w:val="false"/>
                <w:sz w:val="21"/>
                <w:szCs w:val="21"/>
              </w:rPr>
              <w:t xml:space="preserve">9/27</w:t>
            </w:r>
          </w:p>
        </w:tc>
        <w:tc>
          <w:tcPr>
            <w:tcW w:type="dxa" w:w="2200"/>
          </w:tcPr>
          <w:p>
            <w:pPr>
              <w:spacing w:after="60" w:before="60"/>
            </w:pPr>
            <w:r>
              <w:rPr>
                <w:rFonts w:ascii="Calibri" w:cs="Calibri" w:eastAsia="Calibri" w:hAnsi="Calibri"/>
                <w:b w:val="false"/>
                <w:bCs w:val="false"/>
                <w:sz w:val="21"/>
                <w:szCs w:val="21"/>
              </w:rPr>
              <w:t xml:space="preserve">Tell the Coming Generation</w:t>
            </w:r>
          </w:p>
        </w:tc>
        <w:tc>
          <w:tcPr>
            <w:tcW w:type="dxa" w:w="2500"/>
          </w:tcPr>
          <w:p>
            <w:pPr>
              <w:spacing w:after="60" w:before="60"/>
            </w:pPr>
            <w:r>
              <w:rPr>
                <w:rFonts w:ascii="Calibri" w:cs="Calibri" w:eastAsia="Calibri" w:hAnsi="Calibri"/>
                <w:b w:val="false"/>
                <w:bCs w:val="false"/>
                <w:sz w:val="21"/>
                <w:szCs w:val="21"/>
              </w:rPr>
              <w:t xml:space="preserve">Psalm 78:1-7</w:t>
            </w:r>
          </w:p>
        </w:tc>
        <w:tc>
          <w:tcPr>
            <w:tcW w:type="dxa" w:w="900"/>
          </w:tcPr>
          <w:p>
            <w:pPr>
              <w:spacing w:after="60" w:before="60"/>
            </w:pPr>
            <w:r>
              <w:rPr>
                <w:rFonts w:ascii="Calibri" w:cs="Calibri" w:eastAsia="Calibri" w:hAnsi="Calibri"/>
                <w:b w:val="false"/>
                <w:bCs w:val="false"/>
                <w:sz w:val="21"/>
                <w:szCs w:val="21"/>
              </w:rPr>
              <w:t xml:space="preserve">Sarah</w:t>
            </w:r>
          </w:p>
        </w:tc>
        <w:tc>
          <w:tcPr>
            <w:tcW w:type="dxa" w:w="3220"/>
          </w:tcPr>
          <w:p>
            <w:pPr>
              <w:spacing w:after="60" w:before="60"/>
            </w:pPr>
            <w:r>
              <w:rPr>
                <w:rFonts w:ascii="Calibri" w:cs="Calibri" w:eastAsia="Calibri" w:hAnsi="Calibri"/>
                <w:b w:val="false"/>
                <w:bCs w:val="false"/>
                <w:sz w:val="21"/>
                <w:szCs w:val="21"/>
              </w:rPr>
              <w:t xml:space="preserve">Matthew 13:34-35, Deuteronomy 6:4-9, 2 Timothy 1:5</w:t>
            </w:r>
          </w:p>
        </w:tc>
      </w:tr>
      <w:tr>
        <w:tc>
          <w:tcPr>
            <w:tcW w:type="dxa" w:w="900"/>
          </w:tcPr>
          <w:p>
            <w:pPr>
              <w:spacing w:after="60" w:before="60"/>
            </w:pPr>
            <w:r>
              <w:rPr>
                <w:rFonts w:ascii="Calibri" w:cs="Calibri" w:eastAsia="Calibri" w:hAnsi="Calibri"/>
                <w:b w:val="false"/>
                <w:bCs w:val="false"/>
                <w:sz w:val="21"/>
                <w:szCs w:val="21"/>
              </w:rPr>
              <w:t xml:space="preserve">10/4</w:t>
            </w:r>
          </w:p>
        </w:tc>
        <w:tc>
          <w:tcPr>
            <w:tcW w:type="dxa" w:w="2200"/>
          </w:tcPr>
          <w:p>
            <w:pPr>
              <w:spacing w:after="60" w:before="60"/>
            </w:pPr>
            <w:r>
              <w:rPr>
                <w:rFonts w:ascii="Calibri" w:cs="Calibri" w:eastAsia="Calibri" w:hAnsi="Calibri"/>
                <w:b w:val="false"/>
                <w:bCs w:val="false"/>
                <w:sz w:val="21"/>
                <w:szCs w:val="21"/>
              </w:rPr>
              <w:t xml:space="preserve">Dig Again</w:t>
            </w:r>
          </w:p>
        </w:tc>
        <w:tc>
          <w:tcPr>
            <w:tcW w:type="dxa" w:w="2500"/>
          </w:tcPr>
          <w:p>
            <w:pPr>
              <w:spacing w:after="60" w:before="60"/>
            </w:pPr>
            <w:r>
              <w:rPr>
                <w:rFonts w:ascii="Calibri" w:cs="Calibri" w:eastAsia="Calibri" w:hAnsi="Calibri"/>
                <w:b w:val="false"/>
                <w:bCs w:val="false"/>
                <w:sz w:val="21"/>
                <w:szCs w:val="21"/>
              </w:rPr>
              <w:t xml:space="preserve">Genesis 26:17-22</w:t>
            </w:r>
          </w:p>
        </w:tc>
        <w:tc>
          <w:tcPr>
            <w:tcW w:type="dxa" w:w="900"/>
          </w:tcPr>
          <w:p>
            <w:pPr>
              <w:spacing w:after="60" w:before="60"/>
            </w:pPr>
            <w:r>
              <w:rPr>
                <w:rFonts w:ascii="Calibri" w:cs="Calibri" w:eastAsia="Calibri" w:hAnsi="Calibri"/>
                <w:b w:val="false"/>
                <w:bCs w:val="false"/>
                <w:sz w:val="21"/>
                <w:szCs w:val="21"/>
              </w:rPr>
              <w:t xml:space="preserve">Woods</w:t>
            </w:r>
          </w:p>
        </w:tc>
        <w:tc>
          <w:tcPr>
            <w:tcW w:type="dxa" w:w="3220"/>
          </w:tcPr>
          <w:p>
            <w:pPr>
              <w:spacing w:after="60" w:before="60"/>
            </w:pPr>
            <w:r>
              <w:rPr>
                <w:rFonts w:ascii="Calibri" w:cs="Calibri" w:eastAsia="Calibri" w:hAnsi="Calibri"/>
                <w:b w:val="false"/>
                <w:bCs w:val="false"/>
                <w:sz w:val="21"/>
                <w:szCs w:val="21"/>
              </w:rPr>
              <w:t xml:space="preserve">John 7:37-39, Isaiah 58:11-12</w:t>
            </w:r>
          </w:p>
        </w:tc>
      </w:tr>
    </w:tbl>
    <w:p>
      <w:pPr>
        <w:spacing w:after="200" w:line="320"/>
      </w:pPr>
      <w:r>
        <w:rPr>
          <w:rFonts w:ascii="Calibri" w:cs="Calibri" w:eastAsia="Calibri" w:hAnsi="Calibri"/>
          <w:b w:val="false"/>
          <w:bCs w:val="false"/>
          <w:i w:val="false"/>
          <w:iCs w:val="false"/>
          <w:sz w:val="24"/>
          <w:szCs w:val="24"/>
        </w:rPr>
        <w:t xml:space="preserve"/>
      </w:r>
    </w:p>
    <w:p>
      <w:pPr>
        <w:pStyle w:val="Heading2"/>
        <w:spacing w:after="120" w:before="340"/>
      </w:pPr>
      <w:r>
        <w:rPr>
          <w:rFonts w:ascii="Calibri" w:cs="Calibri" w:eastAsia="Calibri" w:hAnsi="Calibri"/>
          <w:b/>
          <w:bCs/>
          <w:sz w:val="25"/>
          <w:szCs w:val="25"/>
        </w:rPr>
        <w:t xml:space="preserve">Week 1  |  Wells We Didn't Dig</w:t>
      </w:r>
    </w:p>
    <w:p>
      <w:pPr>
        <w:spacing w:after="180"/>
      </w:pPr>
      <w:r>
        <w:rPr>
          <w:rFonts w:ascii="Calibri" w:cs="Calibri" w:eastAsia="Calibri" w:hAnsi="Calibri"/>
          <w:i/>
          <w:iCs/>
          <w:color w:val="555555"/>
          <w:sz w:val="23"/>
          <w:szCs w:val="23"/>
        </w:rPr>
        <w:t xml:space="preserve">Deuteronomy 6:10-12</w:t>
      </w:r>
    </w:p>
    <w:p>
      <w:pPr>
        <w:spacing w:after="200" w:line="320"/>
      </w:pPr>
      <w:r>
        <w:rPr>
          <w:rFonts w:ascii="Calibri" w:cs="Calibri" w:eastAsia="Calibri" w:hAnsi="Calibri"/>
          <w:b w:val="false"/>
          <w:bCs w:val="false"/>
          <w:i w:val="false"/>
          <w:iCs w:val="false"/>
          <w:sz w:val="24"/>
          <w:szCs w:val="24"/>
        </w:rPr>
        <w:t xml:space="preserve">Moses is speaking to a generation about to receive what another generation was promised. The cities, houses, wells, and vineyards of the land are already there, provided before Israel arrived, and the danger Moses names is not failure but amnesia: prosperity that forgets where the water came from. Joshua 24:13 repeats the same inventory after the promise is kept, and Psalm 16 gives the grateful response, boundary lines fallen in pleasant places, a goodly inheritance. The Gospel puts Jesus himself inside this pattern: the Last Supper happened in a borrowed room, a large room upstairs already furnished before the disciples arrived (Luke 22:10-13). Even the table at the center of our faith was set with provision the guests did not own.</w:t>
      </w:r>
    </w:p>
    <w:p>
      <w:pPr>
        <w:spacing w:after="200" w:line="320"/>
      </w:pPr>
      <w:r>
        <w:rPr>
          <w:rFonts w:ascii="Calibri" w:cs="Calibri" w:eastAsia="Calibri" w:hAnsi="Calibri"/>
          <w:b w:val="false"/>
          <w:bCs w:val="false"/>
          <w:i w:val="false"/>
          <w:iCs w:val="false"/>
          <w:sz w:val="24"/>
          <w:szCs w:val="24"/>
        </w:rPr>
        <w:t xml:space="preserve">I will open the series by naming some of our own wells with specifics: the rooms we worship in, the ministries we take for granted, and the people, by name where their families allow it, who provided them long before we could benefit. The sermon establishes the question the whole series answers. If everything we have was given, what do we owe?</w:t>
      </w:r>
    </w:p>
    <w:p>
      <w:pPr>
        <w:pStyle w:val="Heading2"/>
        <w:spacing w:after="120" w:before="340"/>
      </w:pPr>
      <w:r>
        <w:rPr>
          <w:rFonts w:ascii="Calibri" w:cs="Calibri" w:eastAsia="Calibri" w:hAnsi="Calibri"/>
          <w:b/>
          <w:bCs/>
          <w:sz w:val="25"/>
          <w:szCs w:val="25"/>
        </w:rPr>
        <w:t xml:space="preserve">Week 2  |  Planted and Watered</w:t>
      </w:r>
    </w:p>
    <w:p>
      <w:pPr>
        <w:spacing w:after="180"/>
      </w:pPr>
      <w:r>
        <w:rPr>
          <w:rFonts w:ascii="Calibri" w:cs="Calibri" w:eastAsia="Calibri" w:hAnsi="Calibri"/>
          <w:i/>
          <w:iCs/>
          <w:color w:val="555555"/>
          <w:sz w:val="23"/>
          <w:szCs w:val="23"/>
        </w:rPr>
        <w:t xml:space="preserve">1 Corinthians 3:5-9</w:t>
      </w:r>
    </w:p>
    <w:p>
      <w:pPr>
        <w:spacing w:after="200" w:line="320"/>
      </w:pPr>
      <w:r>
        <w:rPr>
          <w:rFonts w:ascii="Calibri" w:cs="Calibri" w:eastAsia="Calibri" w:hAnsi="Calibri"/>
          <w:b w:val="false"/>
          <w:bCs w:val="false"/>
          <w:i w:val="false"/>
          <w:iCs w:val="false"/>
          <w:sz w:val="24"/>
          <w:szCs w:val="24"/>
        </w:rPr>
        <w:t xml:space="preserve">Corinth is quarreling over which leader matters most, and Paul deflates the whole argument: “I planted the seed, Apollos watered it, but God has been making it grow.” What is easy to miss is that neither man was there for the harvest. Paul planted and left. Apollos watered and left. The church they are being compared against was the fruit of work that both of them walked away from before it came up. The growth was never theirs to claim and was never theirs to watch.</w:t>
      </w:r>
    </w:p>
    <w:p>
      <w:pPr>
        <w:spacing w:after="200" w:line="320"/>
      </w:pPr>
      <w:r>
        <w:rPr>
          <w:rFonts w:ascii="Calibri" w:cs="Calibri" w:eastAsia="Calibri" w:hAnsi="Calibri"/>
          <w:b w:val="false"/>
          <w:bCs w:val="false"/>
          <w:i w:val="false"/>
          <w:iCs w:val="false"/>
          <w:sz w:val="24"/>
          <w:szCs w:val="24"/>
        </w:rPr>
        <w:t xml:space="preserve">Jesus says the same thing as a parable in Mark 4:26-29. A farmer scatters seed and then goes to bed, and the seed sprouts and grows while he sleeps, and Mark adds the line that should govern this whole sermon: he does not know how. Psalm 127:1 puts it plainly about a house, and Nehemiah 2:17-18 is what it looks like when a community agrees to start anyway.</w:t>
      </w:r>
    </w:p>
    <w:p>
      <w:pPr>
        <w:spacing w:after="200" w:line="320"/>
      </w:pPr>
      <w:r>
        <w:rPr>
          <w:rFonts w:ascii="Calibri" w:cs="Calibri" w:eastAsia="Calibri" w:hAnsi="Calibri"/>
          <w:b w:val="false"/>
          <w:bCs w:val="false"/>
          <w:i w:val="false"/>
          <w:iCs w:val="false"/>
          <w:sz w:val="24"/>
          <w:szCs w:val="24"/>
        </w:rPr>
        <w:t xml:space="preserve">This is the week I go back further than most of our congregation can remember. On August 30 I told this church what the last two years have cost and what has come of them, so this sermon is not a report on our recovery. This one is about the people who planted what we are standing in and never got to see it. The saints who paid for a building they would not worship in for long, the Sunday school teacher whose name nobody in the room recognizes anymore but whose students are still here, the families who kept this church going through decades none of us witnessed. Some of them are buried within a few miles of this sanctuary. None of them knew our names.</w:t>
      </w:r>
    </w:p>
    <w:p>
      <w:pPr>
        <w:spacing w:after="200" w:line="320"/>
      </w:pPr>
      <w:r>
        <w:rPr>
          <w:rFonts w:ascii="Calibri" w:cs="Calibri" w:eastAsia="Calibri" w:hAnsi="Calibri"/>
          <w:b w:val="false"/>
          <w:bCs w:val="false"/>
          <w:i w:val="false"/>
          <w:iCs w:val="false"/>
          <w:sz w:val="24"/>
          <w:szCs w:val="24"/>
        </w:rPr>
        <w:t xml:space="preserve">The turn the sermon makes is the hard and honest one for a commitment season. Most of what you plant, you will not see. That is not a sign the work failed. It is how the field has always worked, and it is the reason a pledge is an act of faith rather than an investment. We are asking people to put their names to something whose results will belong to somebody else.</w:t>
      </w:r>
    </w:p>
    <w:p>
      <w:pPr>
        <w:spacing w:after="200" w:line="320"/>
      </w:pPr>
      <w:r>
        <w:rPr>
          <w:rFonts w:ascii="Calibri" w:cs="Calibri" w:eastAsia="Calibri" w:hAnsi="Calibri"/>
          <w:b w:val="false"/>
          <w:bCs w:val="false"/>
          <w:i w:val="false"/>
          <w:iCs w:val="false"/>
          <w:sz w:val="24"/>
          <w:szCs w:val="24"/>
        </w:rPr>
        <w:t xml:space="preserve">The sermon should leave the congregation seeing themselves inside Paul's image: God's field, God's building, and fellow workers in it, planting for a harvest we are not promised to attend.</w:t>
      </w:r>
    </w:p>
    <w:p>
      <w:pPr>
        <w:pStyle w:val="Heading2"/>
        <w:spacing w:after="120" w:before="340"/>
      </w:pPr>
      <w:r>
        <w:rPr>
          <w:rFonts w:ascii="Calibri" w:cs="Calibri" w:eastAsia="Calibri" w:hAnsi="Calibri"/>
          <w:b/>
          <w:bCs/>
          <w:sz w:val="25"/>
          <w:szCs w:val="25"/>
        </w:rPr>
        <w:t xml:space="preserve">Week 3  |  Tell the Coming Generation</w:t>
      </w:r>
    </w:p>
    <w:p>
      <w:pPr>
        <w:spacing w:after="180"/>
      </w:pPr>
      <w:r>
        <w:rPr>
          <w:rFonts w:ascii="Calibri" w:cs="Calibri" w:eastAsia="Calibri" w:hAnsi="Calibri"/>
          <w:i/>
          <w:iCs/>
          <w:color w:val="555555"/>
          <w:sz w:val="23"/>
          <w:szCs w:val="23"/>
        </w:rPr>
        <w:t xml:space="preserve">Psalm 78:1-7</w:t>
      </w:r>
    </w:p>
    <w:p>
      <w:pPr>
        <w:spacing w:after="200" w:line="320"/>
      </w:pPr>
      <w:r>
        <w:rPr>
          <w:rFonts w:ascii="Calibri" w:cs="Calibri" w:eastAsia="Calibri" w:hAnsi="Calibri"/>
          <w:b w:val="false"/>
          <w:bCs w:val="false"/>
          <w:i w:val="false"/>
          <w:iCs w:val="false"/>
          <w:sz w:val="24"/>
          <w:szCs w:val="24"/>
        </w:rPr>
        <w:t xml:space="preserve">Asaph opens the longest history psalm by declaring what he will do with the past: tell it. The things “we have heard and known, things our ancestors have told us,” will not be hidden from the children, so that “the next generation would know them, even the children yet to be born.” In this psalm an inheritance is not automatic. Wells are dug in one generation and drunk from in the next only if someone tells where the water is. Matthew reaches for this very psalm to describe Jesus: “I will open my mouth in parables” is quoted in Matthew 13:35 as the reason Jesus taught the way he did, which makes him the teller of the old things to a new generation. The other supplemental texts close the loop with Week 1: the same chapter of Deuteronomy that warns against forgetting commands Israel to impress these words on their children, and 2 Timothy 1:5 shows what handed-down faith looks like in a single family, from Lois to Eunice to Timothy.</w:t>
      </w:r>
    </w:p>
    <w:p>
      <w:pPr>
        <w:spacing w:after="200" w:line="320"/>
      </w:pPr>
      <w:r>
        <w:rPr>
          <w:rFonts w:ascii="Calibri" w:cs="Calibri" w:eastAsia="Calibri" w:hAnsi="Calibri"/>
          <w:b w:val="false"/>
          <w:bCs w:val="false"/>
          <w:i w:val="false"/>
          <w:iCs w:val="false"/>
          <w:sz w:val="24"/>
          <w:szCs w:val="24"/>
        </w:rPr>
        <w:t xml:space="preserve">Sarah is the lead writer and preacher this week while I am away, and the framing above is a starting point for her to shape as she sees fit. This is also the Sunday under consideration for a pair of testimonies, one from a long-time member and one from a new member, in place of a sermon. If we go that direction, worship planning changes materially and Sarah will frame and close the service around Psalm 78 rather than preach it.</w:t>
      </w:r>
    </w:p>
    <w:p>
      <w:pPr>
        <w:pStyle w:val="Heading2"/>
        <w:spacing w:after="120" w:before="340"/>
      </w:pPr>
      <w:r>
        <w:rPr>
          <w:rFonts w:ascii="Calibri" w:cs="Calibri" w:eastAsia="Calibri" w:hAnsi="Calibri"/>
          <w:b/>
          <w:bCs/>
          <w:sz w:val="25"/>
          <w:szCs w:val="25"/>
        </w:rPr>
        <w:t xml:space="preserve">Week 4  |  Dig Again</w:t>
      </w:r>
    </w:p>
    <w:p>
      <w:pPr>
        <w:spacing w:after="180"/>
      </w:pPr>
      <w:r>
        <w:rPr>
          <w:rFonts w:ascii="Calibri" w:cs="Calibri" w:eastAsia="Calibri" w:hAnsi="Calibri"/>
          <w:i/>
          <w:iCs/>
          <w:color w:val="555555"/>
          <w:sz w:val="23"/>
          <w:szCs w:val="23"/>
        </w:rPr>
        <w:t xml:space="preserve">Genesis 26:17-22  |  Commitment Sunday</w:t>
      </w:r>
    </w:p>
    <w:p>
      <w:pPr>
        <w:spacing w:after="200" w:line="320"/>
      </w:pPr>
      <w:r>
        <w:rPr>
          <w:rFonts w:ascii="Calibri" w:cs="Calibri" w:eastAsia="Calibri" w:hAnsi="Calibri"/>
          <w:b w:val="false"/>
          <w:bCs w:val="false"/>
          <w:i w:val="false"/>
          <w:iCs w:val="false"/>
          <w:sz w:val="24"/>
          <w:szCs w:val="24"/>
        </w:rPr>
        <w:t xml:space="preserve">Isaac reopens the wells of his father Abraham, which had been stopped up after Abraham's death, and he gives them the same names his father gave them. Then his servants dig new wells of their own, through opposition at Esek and Sitnah, until at last there is Rehoboth, the well whose name means room: “Now the LORD has given us room and we will flourish in the land.” Recommitment is both movements. We reopen what we were given, and we dig what does not yet exist, trusting God for room to flourish. Isaiah 58 promises that people who live this way get a new name, Repairer of Broken Walls, and Jesus finishes the image in John 7:37-39: whoever is thirsty may come and drink, and rivers of living water will flow from within the one who believes. The person who drinks becomes a spring. That is what we are asking of one another on Commitment Sunday.</w:t>
      </w:r>
    </w:p>
    <w:p>
      <w:pPr>
        <w:spacing w:after="200" w:line="320"/>
      </w:pPr>
      <w:r>
        <w:rPr>
          <w:rFonts w:ascii="Calibri" w:cs="Calibri" w:eastAsia="Calibri" w:hAnsi="Calibri"/>
          <w:b w:val="false"/>
          <w:bCs w:val="false"/>
          <w:i w:val="false"/>
          <w:iCs w:val="false"/>
          <w:sz w:val="24"/>
          <w:szCs w:val="24"/>
        </w:rPr>
        <w:t xml:space="preserve">The sermon lands on the cards and the Guidebook in hand. Some of us are reopening a well we have tended for decades, and some are picking up a shovel here for the first time. Both belong to the same work, and on this Sunday we put our names to it.</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2026-08-31T17:49:57.366Z</dcterms:created>
  <dcterms:modified xsi:type="dcterms:W3CDTF">2026-08-31T17:49:57.377Z</dcterms:modified>
</cp:coreProperties>
</file>

<file path=docProps/custom.xml><?xml version="1.0" encoding="utf-8"?>
<Properties xmlns="http://schemas.openxmlformats.org/officeDocument/2006/custom-properties" xmlns:vt="http://schemas.openxmlformats.org/officeDocument/2006/docPropsVTypes"/>
</file>