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Georgia" w:cs="Georgia" w:eastAsia="Georgia" w:hAnsi="Georgia"/>
          <w:b/>
          <w:bCs/>
          <w:smallCaps/>
          <w:color w:val="7B2D26"/>
          <w:sz w:val="18"/>
          <w:szCs w:val="18"/>
        </w:rPr>
        <w:t xml:space="preserve">ADMINISTRATION</w:t>
      </w:r>
    </w:p>
    <w:p>
      <w:pPr>
        <w:pBdr>
          <w:bottom w:val="single" w:color="7B2D26" w:sz="6" w:space="6"/>
        </w:pBdr>
        <w:spacing w:after="200"/>
      </w:pPr>
      <w:r>
        <w:rPr>
          <w:rFonts w:ascii="Georgia" w:cs="Georgia" w:eastAsia="Georgia" w:hAnsi="Georgia"/>
          <w:b/>
          <w:bCs/>
          <w:color w:val="7B2D26"/>
          <w:sz w:val="40"/>
          <w:szCs w:val="40"/>
        </w:rPr>
        <w:t xml:space="preserve">The Annual Stewardship Campaign</w:t>
      </w:r>
    </w:p>
    <w:p>
      <w:pPr>
        <w:spacing w:after="220" w:before="120"/>
      </w:pPr>
      <w:r>
        <w:rPr>
          <w:rFonts w:ascii="Georgia" w:cs="Georgia" w:eastAsia="Georgia" w:hAnsi="Georgia"/>
          <w:i/>
          <w:iCs/>
          <w:sz w:val="24"/>
          <w:szCs w:val="24"/>
        </w:rPr>
        <w:t xml:space="preserve">How Spanish Fort UMC runs its yearly commitment season, the devotional and digital tools that support it, and the year-round rhythm of gratitude and communication that surrounds it.</w:t>
      </w:r>
    </w:p>
    <w:p>
      <w:pPr>
        <w:pStyle w:val="Heading1"/>
        <w:spacing w:after="120" w:before="260"/>
      </w:pPr>
      <w:r>
        <w:rPr>
          <w:rFonts w:ascii="Georgia" w:cs="Georgia" w:eastAsia="Georgia" w:hAnsi="Georgia"/>
          <w:b/>
          <w:bCs/>
          <w:color w:val="7B2D26"/>
          <w:sz w:val="30"/>
          <w:szCs w:val="30"/>
        </w:rPr>
        <w:t xml:space="preserve">The annual commitment campaign</w:t>
      </w:r>
    </w:p>
    <w:p>
      <w:pPr>
        <w:spacing w:after="160"/>
      </w:pPr>
      <w:r>
        <w:rPr>
          <w:rFonts w:ascii="Georgia" w:cs="Georgia" w:eastAsia="Georgia" w:hAnsi="Georgia"/>
          <w:sz w:val="22"/>
          <w:szCs w:val="22"/>
        </w:rPr>
        <w:t xml:space="preserve">The center of the year is a commitment season of roughly four to six weeks, built around a sermon series and culminating in Commitment Sunday. The goal is for every active household to return a commitment card. SFUMC frames its card on the five-fold membership vow, prayers, presence, gifts, service, and witness, so the ask is not only financial but a renewal of the whole commitment to the church.</w:t>
      </w:r>
    </w:p>
    <w:p>
      <w:pPr>
        <w:pStyle w:val="Heading1"/>
        <w:spacing w:after="120" w:before="260"/>
      </w:pPr>
      <w:r>
        <w:rPr>
          <w:rFonts w:ascii="Georgia" w:cs="Georgia" w:eastAsia="Georgia" w:hAnsi="Georgia"/>
          <w:b/>
          <w:bCs/>
          <w:color w:val="7B2D26"/>
          <w:sz w:val="30"/>
          <w:szCs w:val="30"/>
        </w:rPr>
        <w:t xml:space="preserve">Two worked examples</w:t>
      </w:r>
    </w:p>
    <w:p>
      <w:pPr>
        <w:pStyle w:val="Heading2"/>
        <w:spacing w:after="100" w:before="180"/>
      </w:pPr>
      <w:r>
        <w:rPr>
          <w:rFonts w:ascii="Georgia" w:cs="Georgia" w:eastAsia="Georgia" w:hAnsi="Georgia"/>
          <w:b/>
          <w:bCs/>
          <w:color w:val="5F684C"/>
          <w:sz w:val="26"/>
          <w:szCs w:val="26"/>
        </w:rPr>
        <w:t xml:space="preserve">2024</w:t>
      </w:r>
    </w:p>
    <w:p>
      <w:pPr>
        <w:spacing w:after="160"/>
      </w:pPr>
      <w:r>
        <w:rPr>
          <w:rFonts w:ascii="Georgia" w:cs="Georgia" w:eastAsia="Georgia" w:hAnsi="Georgia"/>
          <w:sz w:val="22"/>
          <w:szCs w:val="22"/>
        </w:rPr>
        <w:t xml:space="preserve">Cards were mailed on September 4. A five-week sermon series on the five vows ran September 8 through October 6. Commitment Sunday was October 6. The Finance Committee reviewed remaining pledges on November 17 and followed up with households that had not yet responded.</w:t>
      </w:r>
    </w:p>
    <w:p>
      <w:pPr>
        <w:pStyle w:val="Heading2"/>
        <w:spacing w:after="100" w:before="180"/>
      </w:pPr>
      <w:r>
        <w:rPr>
          <w:rFonts w:ascii="Georgia" w:cs="Georgia" w:eastAsia="Georgia" w:hAnsi="Georgia"/>
          <w:b/>
          <w:bCs/>
          <w:color w:val="5F684C"/>
          <w:sz w:val="26"/>
          <w:szCs w:val="26"/>
        </w:rPr>
        <w:t xml:space="preserve">2025</w:t>
      </w:r>
    </w:p>
    <w:p>
      <w:pPr>
        <w:spacing w:after="160"/>
      </w:pPr>
      <w:r>
        <w:rPr>
          <w:rFonts w:ascii="Georgia" w:cs="Georgia" w:eastAsia="Georgia" w:hAnsi="Georgia"/>
          <w:sz w:val="22"/>
          <w:szCs w:val="22"/>
        </w:rPr>
        <w:t xml:space="preserve">Leadership made a deliberate timing change. Rather than holding the series in October, when average attendance runs lower, they moved it to late summer and aligned it with the launch of the church's new vision. The series was titled “Welcome Home.” The vision launched August 17, and the series concluded with Commitment Sunday on September 28, with pledge cards taken at both services. The lesson worth carrying: set the campaign when the most people are present, and let it ride the momentum of whatever the church is most excited about that year.</w:t>
      </w:r>
    </w:p>
    <w:p>
      <w:pPr>
        <w:pStyle w:val="Heading1"/>
        <w:spacing w:after="120" w:before="260"/>
      </w:pPr>
      <w:r>
        <w:rPr>
          <w:rFonts w:ascii="Georgia" w:cs="Georgia" w:eastAsia="Georgia" w:hAnsi="Georgia"/>
          <w:b/>
          <w:bCs/>
          <w:color w:val="7B2D26"/>
          <w:sz w:val="30"/>
          <w:szCs w:val="30"/>
        </w:rPr>
        <w:t xml:space="preserve">The 30-day devotional companion</w:t>
      </w:r>
    </w:p>
    <w:p>
      <w:pPr>
        <w:spacing w:after="160"/>
      </w:pPr>
      <w:r>
        <w:rPr>
          <w:rFonts w:ascii="Georgia" w:cs="Georgia" w:eastAsia="Georgia" w:hAnsi="Georgia"/>
          <w:sz w:val="22"/>
          <w:szCs w:val="22"/>
        </w:rPr>
        <w:t xml:space="preserve">A companion devotional carries the campaign into homes for thirty days. It moves through four stages:</w:t>
      </w:r>
    </w:p>
    <w:p>
      <w:pPr>
        <w:pStyle w:val="ListParagraph"/>
        <w:numPr>
          <w:ilvl w:val="0"/>
          <w:numId w:val="2"/>
        </w:numPr>
        <w:spacing w:after="80"/>
      </w:pPr>
      <w:r>
        <w:rPr>
          <w:rFonts w:ascii="Georgia" w:cs="Georgia" w:eastAsia="Georgia" w:hAnsi="Georgia"/>
          <w:b/>
          <w:bCs/>
          <w:sz w:val="22"/>
          <w:szCs w:val="22"/>
        </w:rPr>
        <w:t xml:space="preserve">You Are Here</w:t>
      </w:r>
      <w:r>
        <w:rPr>
          <w:rFonts w:ascii="Georgia" w:cs="Georgia" w:eastAsia="Georgia" w:hAnsi="Georgia"/>
          <w:sz w:val="22"/>
          <w:szCs w:val="22"/>
        </w:rPr>
        <w:t xml:space="preserve">: an honest assessment of where a household stands.</w:t>
      </w:r>
    </w:p>
    <w:p>
      <w:pPr>
        <w:pStyle w:val="ListParagraph"/>
        <w:numPr>
          <w:ilvl w:val="0"/>
          <w:numId w:val="2"/>
        </w:numPr>
        <w:spacing w:after="80"/>
      </w:pPr>
      <w:r>
        <w:rPr>
          <w:rFonts w:ascii="Georgia" w:cs="Georgia" w:eastAsia="Georgia" w:hAnsi="Georgia"/>
          <w:b/>
          <w:bCs/>
          <w:sz w:val="22"/>
          <w:szCs w:val="22"/>
        </w:rPr>
        <w:t xml:space="preserve">Look for the Promise</w:t>
      </w:r>
      <w:r>
        <w:rPr>
          <w:rFonts w:ascii="Georgia" w:cs="Georgia" w:eastAsia="Georgia" w:hAnsi="Georgia"/>
          <w:sz w:val="22"/>
          <w:szCs w:val="22"/>
        </w:rPr>
        <w:t xml:space="preserve">: seeing what God has already provided.</w:t>
      </w:r>
    </w:p>
    <w:p>
      <w:pPr>
        <w:pStyle w:val="ListParagraph"/>
        <w:numPr>
          <w:ilvl w:val="0"/>
          <w:numId w:val="2"/>
        </w:numPr>
        <w:spacing w:after="80"/>
      </w:pPr>
      <w:r>
        <w:rPr>
          <w:rFonts w:ascii="Georgia" w:cs="Georgia" w:eastAsia="Georgia" w:hAnsi="Georgia"/>
          <w:b/>
          <w:bCs/>
          <w:sz w:val="22"/>
          <w:szCs w:val="22"/>
        </w:rPr>
        <w:t xml:space="preserve">Choose the Next Step</w:t>
      </w:r>
      <w:r>
        <w:rPr>
          <w:rFonts w:ascii="Georgia" w:cs="Georgia" w:eastAsia="Georgia" w:hAnsi="Georgia"/>
          <w:sz w:val="22"/>
          <w:szCs w:val="22"/>
        </w:rPr>
        <w:t xml:space="preserve">: deciding on a concrete commitment.</w:t>
      </w:r>
    </w:p>
    <w:p>
      <w:pPr>
        <w:pStyle w:val="ListParagraph"/>
        <w:numPr>
          <w:ilvl w:val="0"/>
          <w:numId w:val="2"/>
        </w:numPr>
        <w:spacing w:after="80"/>
      </w:pPr>
      <w:r>
        <w:rPr>
          <w:rFonts w:ascii="Georgia" w:cs="Georgia" w:eastAsia="Georgia" w:hAnsi="Georgia"/>
          <w:b/>
          <w:bCs/>
          <w:sz w:val="22"/>
          <w:szCs w:val="22"/>
        </w:rPr>
        <w:t xml:space="preserve">Walk with God in Prayer</w:t>
      </w:r>
      <w:r>
        <w:rPr>
          <w:rFonts w:ascii="Georgia" w:cs="Georgia" w:eastAsia="Georgia" w:hAnsi="Georgia"/>
          <w:sz w:val="22"/>
          <w:szCs w:val="22"/>
        </w:rPr>
        <w:t xml:space="preserve">: living into the commitment.</w:t>
      </w:r>
    </w:p>
    <w:p>
      <w:pPr>
        <w:spacing w:after="160"/>
      </w:pPr>
      <w:r>
        <w:rPr>
          <w:rFonts w:ascii="Georgia" w:cs="Georgia" w:eastAsia="Georgia" w:hAnsi="Georgia"/>
          <w:sz w:val="22"/>
          <w:szCs w:val="22"/>
        </w:rPr>
        <w:t xml:space="preserve">The weekly rhythm is simple and repeatable: a short devotion Monday through Friday, a fifteen-minute witness action on Saturday, and a group discussion prompt for Sunday.</w:t>
      </w:r>
    </w:p>
    <w:p>
      <w:pPr>
        <w:pStyle w:val="Heading1"/>
        <w:spacing w:after="120" w:before="260"/>
      </w:pPr>
      <w:r>
        <w:rPr>
          <w:rFonts w:ascii="Georgia" w:cs="Georgia" w:eastAsia="Georgia" w:hAnsi="Georgia"/>
          <w:b/>
          <w:bCs/>
          <w:color w:val="7B2D26"/>
          <w:sz w:val="30"/>
          <w:szCs w:val="30"/>
        </w:rPr>
        <w:t xml:space="preserve">The digital commitment card</w:t>
      </w:r>
    </w:p>
    <w:p>
      <w:pPr>
        <w:spacing w:after="160"/>
      </w:pPr>
      <w:r>
        <w:rPr>
          <w:rFonts w:ascii="Georgia" w:cs="Georgia" w:eastAsia="Georgia" w:hAnsi="Georgia"/>
          <w:sz w:val="22"/>
          <w:szCs w:val="22"/>
        </w:rPr>
        <w:t xml:space="preserve">With giving and records now on ShelbyNext, the church added a digital commitment card in the summer of 2025. Households can complete their commitment online rather than only on paper, which lifts response rates among members who do most of their giving and church business on a screen. The paper card and the digital card run side by side.</w:t>
      </w:r>
    </w:p>
    <w:p>
      <w:pPr>
        <w:pStyle w:val="Heading1"/>
        <w:spacing w:after="120" w:before="260"/>
      </w:pPr>
      <w:r>
        <w:rPr>
          <w:rFonts w:ascii="Georgia" w:cs="Georgia" w:eastAsia="Georgia" w:hAnsi="Georgia"/>
          <w:b/>
          <w:bCs/>
          <w:color w:val="7B2D26"/>
          <w:sz w:val="30"/>
          <w:szCs w:val="30"/>
        </w:rPr>
        <w:t xml:space="preserve">The year-round stewardship calendar</w:t>
      </w:r>
    </w:p>
    <w:p>
      <w:pPr>
        <w:spacing w:after="160"/>
      </w:pPr>
      <w:r>
        <w:rPr>
          <w:rFonts w:ascii="Georgia" w:cs="Georgia" w:eastAsia="Georgia" w:hAnsi="Georgia"/>
          <w:sz w:val="22"/>
          <w:szCs w:val="22"/>
        </w:rPr>
        <w:t xml:space="preserve">The piece most churches miss is everything that happens outside the campaign. Stewardship at SFUMC is a year-round rhythm of gratitude and communication, not a single fall push:</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00"/>
        <w:gridCol w:w="4680"/>
        <w:gridCol w:w="3280"/>
      </w:tblGrid>
      <w:tr>
        <w:trPr>
          <w:tblHeader/>
        </w:trPr>
        <w:tc>
          <w:tcPr>
            <w:tcW w:type="dxa" w:w="1400"/>
            <w:tcBorders>
              <w:top w:val="single" w:color="CCCCCC" w:sz="1"/>
              <w:left w:val="single" w:color="CCCCCC" w:sz="1"/>
              <w:bottom w:val="single" w:color="CCCCCC" w:sz="1"/>
              <w:right w:val="single" w:color="CCCCCC" w:sz="1"/>
            </w:tcBorders>
            <w:shd w:fill="EFEAE3" w:color="auto" w:val="clear"/>
            <w:tcMar>
              <w:top w:type="dxa" w:w="80"/>
              <w:left w:type="dxa" w:w="120"/>
              <w:bottom w:type="dxa" w:w="80"/>
              <w:right w:type="dxa" w:w="120"/>
            </w:tcMar>
          </w:tcPr>
          <w:p>
            <w:r>
              <w:rPr>
                <w:rFonts w:ascii="Georgia" w:cs="Georgia" w:eastAsia="Georgia" w:hAnsi="Georgia"/>
                <w:b/>
                <w:bCs/>
                <w:color w:val="7B2D26"/>
                <w:sz w:val="20"/>
                <w:szCs w:val="20"/>
              </w:rPr>
              <w:t xml:space="preserve">Month</w:t>
            </w:r>
          </w:p>
        </w:tc>
        <w:tc>
          <w:tcPr>
            <w:tcW w:type="dxa" w:w="4680"/>
            <w:tcBorders>
              <w:top w:val="single" w:color="CCCCCC" w:sz="1"/>
              <w:left w:val="single" w:color="CCCCCC" w:sz="1"/>
              <w:bottom w:val="single" w:color="CCCCCC" w:sz="1"/>
              <w:right w:val="single" w:color="CCCCCC" w:sz="1"/>
            </w:tcBorders>
            <w:shd w:fill="EFEAE3" w:color="auto" w:val="clear"/>
            <w:tcMar>
              <w:top w:type="dxa" w:w="80"/>
              <w:left w:type="dxa" w:w="120"/>
              <w:bottom w:type="dxa" w:w="80"/>
              <w:right w:type="dxa" w:w="120"/>
            </w:tcMar>
          </w:tcPr>
          <w:p>
            <w:r>
              <w:rPr>
                <w:rFonts w:ascii="Georgia" w:cs="Georgia" w:eastAsia="Georgia" w:hAnsi="Georgia"/>
                <w:b/>
                <w:bCs/>
                <w:color w:val="7B2D26"/>
                <w:sz w:val="20"/>
                <w:szCs w:val="20"/>
              </w:rPr>
              <w:t xml:space="preserve">Primary action</w:t>
            </w:r>
          </w:p>
        </w:tc>
        <w:tc>
          <w:tcPr>
            <w:tcW w:type="dxa" w:w="3280"/>
            <w:tcBorders>
              <w:top w:val="single" w:color="CCCCCC" w:sz="1"/>
              <w:left w:val="single" w:color="CCCCCC" w:sz="1"/>
              <w:bottom w:val="single" w:color="CCCCCC" w:sz="1"/>
              <w:right w:val="single" w:color="CCCCCC" w:sz="1"/>
            </w:tcBorders>
            <w:shd w:fill="EFEAE3" w:color="auto" w:val="clear"/>
            <w:tcMar>
              <w:top w:type="dxa" w:w="80"/>
              <w:left w:type="dxa" w:w="120"/>
              <w:bottom w:type="dxa" w:w="80"/>
              <w:right w:type="dxa" w:w="120"/>
            </w:tcMar>
          </w:tcPr>
          <w:p>
            <w:r>
              <w:rPr>
                <w:rFonts w:ascii="Georgia" w:cs="Georgia" w:eastAsia="Georgia" w:hAnsi="Georgia"/>
                <w:b/>
                <w:bCs/>
                <w:color w:val="7B2D26"/>
                <w:sz w:val="20"/>
                <w:szCs w:val="20"/>
              </w:rPr>
              <w:t xml:space="preserve">Secondary action</w:t>
            </w:r>
          </w:p>
        </w:tc>
      </w:tr>
      <w:tr>
        <w:tc>
          <w:tcPr>
            <w:tcW w:type="dxa" w:w="14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Georgia" w:cs="Georgia" w:eastAsia="Georgia" w:hAnsi="Georgia"/>
                <w:b w:val="false"/>
                <w:bCs w:val="false"/>
                <w:color w:val="000000"/>
                <w:sz w:val="20"/>
                <w:szCs w:val="20"/>
              </w:rPr>
              <w:t xml:space="preserve">January</w:t>
            </w:r>
          </w:p>
        </w:tc>
        <w:tc>
          <w:tcPr>
            <w:tcW w:type="dxa" w:w="468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Georgia" w:cs="Georgia" w:eastAsia="Georgia" w:hAnsi="Georgia"/>
                <w:b w:val="false"/>
                <w:bCs w:val="false"/>
                <w:color w:val="000000"/>
                <w:sz w:val="20"/>
                <w:szCs w:val="20"/>
              </w:rPr>
              <w:t xml:space="preserve">Handwritten thank-you letters for the prior year's gifts (Finance Committee)</w:t>
            </w:r>
          </w:p>
        </w:tc>
        <w:tc>
          <w:tcPr>
            <w:tcW w:type="dxa" w:w="328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Georgia" w:cs="Georgia" w:eastAsia="Georgia" w:hAnsi="Georgia"/>
                <w:b w:val="false"/>
                <w:bCs w:val="false"/>
                <w:color w:val="000000"/>
                <w:sz w:val="20"/>
                <w:szCs w:val="20"/>
              </w:rPr>
              <w:t xml:space="preserve">Financial class</w:t>
            </w:r>
          </w:p>
        </w:tc>
      </w:tr>
      <w:tr>
        <w:tc>
          <w:tcPr>
            <w:tcW w:type="dxa" w:w="14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Georgia" w:cs="Georgia" w:eastAsia="Georgia" w:hAnsi="Georgia"/>
                <w:b w:val="false"/>
                <w:bCs w:val="false"/>
                <w:color w:val="000000"/>
                <w:sz w:val="20"/>
                <w:szCs w:val="20"/>
              </w:rPr>
              <w:t xml:space="preserve">April</w:t>
            </w:r>
          </w:p>
        </w:tc>
        <w:tc>
          <w:tcPr>
            <w:tcW w:type="dxa" w:w="468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Georgia" w:cs="Georgia" w:eastAsia="Georgia" w:hAnsi="Georgia"/>
                <w:b w:val="false"/>
                <w:bCs w:val="false"/>
                <w:color w:val="000000"/>
                <w:sz w:val="20"/>
                <w:szCs w:val="20"/>
              </w:rPr>
              <w:t xml:space="preserve">Letter with quarterly giving statement (Finance Chair)</w:t>
            </w:r>
          </w:p>
        </w:tc>
        <w:tc>
          <w:tcPr>
            <w:tcW w:type="dxa" w:w="328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Georgia" w:cs="Georgia" w:eastAsia="Georgia" w:hAnsi="Georgia"/>
                <w:b w:val="false"/>
                <w:bCs w:val="false"/>
                <w:color w:val="000000"/>
                <w:sz w:val="20"/>
                <w:szCs w:val="20"/>
              </w:rPr>
              <w:t xml:space="preserve"/>
            </w:r>
          </w:p>
        </w:tc>
      </w:tr>
      <w:tr>
        <w:tc>
          <w:tcPr>
            <w:tcW w:type="dxa" w:w="14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Georgia" w:cs="Georgia" w:eastAsia="Georgia" w:hAnsi="Georgia"/>
                <w:b w:val="false"/>
                <w:bCs w:val="false"/>
                <w:color w:val="000000"/>
                <w:sz w:val="20"/>
                <w:szCs w:val="20"/>
              </w:rPr>
              <w:t xml:space="preserve">August</w:t>
            </w:r>
          </w:p>
        </w:tc>
        <w:tc>
          <w:tcPr>
            <w:tcW w:type="dxa" w:w="468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Georgia" w:cs="Georgia" w:eastAsia="Georgia" w:hAnsi="Georgia"/>
                <w:b w:val="false"/>
                <w:bCs w:val="false"/>
                <w:color w:val="000000"/>
                <w:sz w:val="20"/>
                <w:szCs w:val="20"/>
              </w:rPr>
              <w:t xml:space="preserve">Giving Dinner, relationship-focused (Pastor and Finance Chair)</w:t>
            </w:r>
          </w:p>
        </w:tc>
        <w:tc>
          <w:tcPr>
            <w:tcW w:type="dxa" w:w="328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Georgia" w:cs="Georgia" w:eastAsia="Georgia" w:hAnsi="Georgia"/>
                <w:b w:val="false"/>
                <w:bCs w:val="false"/>
                <w:color w:val="000000"/>
                <w:sz w:val="20"/>
                <w:szCs w:val="20"/>
              </w:rPr>
              <w:t xml:space="preserve">Letter with quarterly statement</w:t>
            </w:r>
          </w:p>
        </w:tc>
      </w:tr>
      <w:tr>
        <w:tc>
          <w:tcPr>
            <w:tcW w:type="dxa" w:w="14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Georgia" w:cs="Georgia" w:eastAsia="Georgia" w:hAnsi="Georgia"/>
                <w:b w:val="false"/>
                <w:bCs w:val="false"/>
                <w:color w:val="000000"/>
                <w:sz w:val="20"/>
                <w:szCs w:val="20"/>
              </w:rPr>
              <w:t xml:space="preserve">September</w:t>
            </w:r>
          </w:p>
        </w:tc>
        <w:tc>
          <w:tcPr>
            <w:tcW w:type="dxa" w:w="468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Georgia" w:cs="Georgia" w:eastAsia="Georgia" w:hAnsi="Georgia"/>
                <w:b w:val="false"/>
                <w:bCs w:val="false"/>
                <w:color w:val="000000"/>
                <w:sz w:val="20"/>
                <w:szCs w:val="20"/>
              </w:rPr>
              <w:t xml:space="preserve">Stewardship sermon series</w:t>
            </w:r>
          </w:p>
        </w:tc>
        <w:tc>
          <w:tcPr>
            <w:tcW w:type="dxa" w:w="328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Georgia" w:cs="Georgia" w:eastAsia="Georgia" w:hAnsi="Georgia"/>
                <w:b w:val="false"/>
                <w:bCs w:val="false"/>
                <w:color w:val="000000"/>
                <w:sz w:val="20"/>
                <w:szCs w:val="20"/>
              </w:rPr>
              <w:t xml:space="preserve"/>
            </w:r>
          </w:p>
        </w:tc>
      </w:tr>
      <w:tr>
        <w:tc>
          <w:tcPr>
            <w:tcW w:type="dxa" w:w="14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Georgia" w:cs="Georgia" w:eastAsia="Georgia" w:hAnsi="Georgia"/>
                <w:b w:val="false"/>
                <w:bCs w:val="false"/>
                <w:color w:val="000000"/>
                <w:sz w:val="20"/>
                <w:szCs w:val="20"/>
              </w:rPr>
              <w:t xml:space="preserve">October</w:t>
            </w:r>
          </w:p>
        </w:tc>
        <w:tc>
          <w:tcPr>
            <w:tcW w:type="dxa" w:w="468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Georgia" w:cs="Georgia" w:eastAsia="Georgia" w:hAnsi="Georgia"/>
                <w:b w:val="false"/>
                <w:bCs w:val="false"/>
                <w:color w:val="000000"/>
                <w:sz w:val="20"/>
                <w:szCs w:val="20"/>
              </w:rPr>
              <w:t xml:space="preserve">Follow-up phone calls (Finance Committee)</w:t>
            </w:r>
          </w:p>
        </w:tc>
        <w:tc>
          <w:tcPr>
            <w:tcW w:type="dxa" w:w="328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Georgia" w:cs="Georgia" w:eastAsia="Georgia" w:hAnsi="Georgia"/>
                <w:b w:val="false"/>
                <w:bCs w:val="false"/>
                <w:color w:val="000000"/>
                <w:sz w:val="20"/>
                <w:szCs w:val="20"/>
              </w:rPr>
              <w:t xml:space="preserve"/>
            </w:r>
          </w:p>
        </w:tc>
      </w:tr>
      <w:tr>
        <w:tc>
          <w:tcPr>
            <w:tcW w:type="dxa" w:w="14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Georgia" w:cs="Georgia" w:eastAsia="Georgia" w:hAnsi="Georgia"/>
                <w:b w:val="false"/>
                <w:bCs w:val="false"/>
                <w:color w:val="000000"/>
                <w:sz w:val="20"/>
                <w:szCs w:val="20"/>
              </w:rPr>
              <w:t xml:space="preserve">November</w:t>
            </w:r>
          </w:p>
        </w:tc>
        <w:tc>
          <w:tcPr>
            <w:tcW w:type="dxa" w:w="468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Georgia" w:cs="Georgia" w:eastAsia="Georgia" w:hAnsi="Georgia"/>
                <w:b w:val="false"/>
                <w:bCs w:val="false"/>
                <w:color w:val="000000"/>
                <w:sz w:val="20"/>
                <w:szCs w:val="20"/>
              </w:rPr>
              <w:t xml:space="preserve">Financial-planning session: estate planning, retirement</w:t>
            </w:r>
          </w:p>
        </w:tc>
        <w:tc>
          <w:tcPr>
            <w:tcW w:type="dxa" w:w="328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Georgia" w:cs="Georgia" w:eastAsia="Georgia" w:hAnsi="Georgia"/>
                <w:b w:val="false"/>
                <w:bCs w:val="false"/>
                <w:color w:val="000000"/>
                <w:sz w:val="20"/>
                <w:szCs w:val="20"/>
              </w:rPr>
              <w:t xml:space="preserve">Letter with quarterly statement</w:t>
            </w:r>
          </w:p>
        </w:tc>
      </w:tr>
    </w:tbl>
    <w:p>
      <w:pPr>
        <w:spacing w:after="80"/>
      </w:pPr>
    </w:p>
    <w:p>
      <w:pPr>
        <w:pStyle w:val="Heading1"/>
        <w:spacing w:after="120" w:before="260"/>
      </w:pPr>
      <w:r>
        <w:rPr>
          <w:rFonts w:ascii="Georgia" w:cs="Georgia" w:eastAsia="Georgia" w:hAnsi="Georgia"/>
          <w:b/>
          <w:bCs/>
          <w:color w:val="7B2D26"/>
          <w:sz w:val="30"/>
          <w:szCs w:val="30"/>
        </w:rPr>
        <w:t xml:space="preserve">How to use this</w:t>
      </w:r>
    </w:p>
    <w:p>
      <w:pPr>
        <w:pStyle w:val="ListParagraph"/>
        <w:numPr>
          <w:ilvl w:val="0"/>
          <w:numId w:val="3"/>
        </w:numPr>
        <w:spacing w:after="80"/>
      </w:pPr>
      <w:r>
        <w:rPr>
          <w:rFonts w:ascii="Georgia" w:cs="Georgia" w:eastAsia="Georgia" w:hAnsi="Georgia"/>
          <w:sz w:val="22"/>
          <w:szCs w:val="22"/>
        </w:rPr>
        <w:t xml:space="preserve">Set the campaign for the weeks when attendance is highest, even if that is not October.</w:t>
      </w:r>
    </w:p>
    <w:p>
      <w:pPr>
        <w:pStyle w:val="ListParagraph"/>
        <w:numPr>
          <w:ilvl w:val="0"/>
          <w:numId w:val="3"/>
        </w:numPr>
        <w:spacing w:after="80"/>
      </w:pPr>
      <w:r>
        <w:rPr>
          <w:rFonts w:ascii="Georgia" w:cs="Georgia" w:eastAsia="Georgia" w:hAnsi="Georgia"/>
          <w:sz w:val="22"/>
          <w:szCs w:val="22"/>
        </w:rPr>
        <w:t xml:space="preserve">Build the commitment card around the whole membership commitment, not money alone.</w:t>
      </w:r>
    </w:p>
    <w:p>
      <w:pPr>
        <w:pStyle w:val="ListParagraph"/>
        <w:numPr>
          <w:ilvl w:val="0"/>
          <w:numId w:val="3"/>
        </w:numPr>
        <w:spacing w:after="80"/>
      </w:pPr>
      <w:r>
        <w:rPr>
          <w:rFonts w:ascii="Georgia" w:cs="Georgia" w:eastAsia="Georgia" w:hAnsi="Georgia"/>
          <w:sz w:val="22"/>
          <w:szCs w:val="22"/>
        </w:rPr>
        <w:t xml:space="preserve">Pair the series with a thirty-day devotional that moves a household from assessment to a concrete next step.</w:t>
      </w:r>
    </w:p>
    <w:p>
      <w:pPr>
        <w:pStyle w:val="ListParagraph"/>
        <w:numPr>
          <w:ilvl w:val="0"/>
          <w:numId w:val="3"/>
        </w:numPr>
        <w:spacing w:after="80"/>
      </w:pPr>
      <w:r>
        <w:rPr>
          <w:rFonts w:ascii="Georgia" w:cs="Georgia" w:eastAsia="Georgia" w:hAnsi="Georgia"/>
          <w:sz w:val="22"/>
          <w:szCs w:val="22"/>
        </w:rPr>
        <w:t xml:space="preserve">Offer both a paper and a digital commitment card.</w:t>
      </w:r>
    </w:p>
    <w:p>
      <w:pPr>
        <w:pStyle w:val="ListParagraph"/>
        <w:numPr>
          <w:ilvl w:val="0"/>
          <w:numId w:val="3"/>
        </w:numPr>
        <w:spacing w:after="80"/>
      </w:pPr>
      <w:r>
        <w:rPr>
          <w:rFonts w:ascii="Georgia" w:cs="Georgia" w:eastAsia="Georgia" w:hAnsi="Georgia"/>
          <w:sz w:val="22"/>
          <w:szCs w:val="22"/>
        </w:rPr>
        <w:t xml:space="preserve">Carry stewardship across the whole year with thank-you letters, quarterly statements, a relational giving dinner, and a financial-planning session, so the fall ask lands inside an ongoing relationship rather than out of the blue.</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DDDDD" w:sz="4" w:space="6"/>
      </w:pBdr>
      <w:jc w:val="center"/>
    </w:pPr>
    <w:r>
      <w:rPr>
        <w:rFonts w:ascii="Georgia" w:cs="Georgia" w:eastAsia="Georgia" w:hAnsi="Georgia"/>
        <w:color w:val="6B6B6B"/>
        <w:sz w:val="14"/>
        <w:szCs w:val="14"/>
      </w:rPr>
      <w:t xml:space="preserve">The Annual Stewardship Campaign  ·  Spanish Fort UMC  ·  Shared through the Church Resource Hub, churchresourcehub.github.io  ·  Page </w:t>
    </w:r>
    <w:r>
      <w:rPr>
        <w:rFonts w:ascii="Georgia" w:cs="Georgia" w:eastAsia="Georgia" w:hAnsi="Georgia"/>
        <w:color w:val="6B6B6B"/>
        <w:sz w:val="14"/>
        <w:szCs w:val="14"/>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60"/>
      <w:outlineLvl w:val="0"/>
    </w:pPr>
    <w:rPr>
      <w:rFonts w:ascii="Georgia" w:cs="Georgia" w:eastAsia="Georgia" w:hAnsi="Georgia"/>
      <w:b/>
      <w:bCs/>
      <w:color w:val="7B2D26"/>
      <w:sz w:val="30"/>
      <w:szCs w:val="30"/>
    </w:rPr>
  </w:style>
  <w:style w:type="paragraph" w:styleId="Heading2">
    <w:name w:val="Heading 2"/>
    <w:basedOn w:val="Normal"/>
    <w:next w:val="Normal"/>
    <w:qFormat/>
    <w:pPr>
      <w:spacing w:after="100" w:before="180"/>
      <w:outlineLvl w:val="1"/>
    </w:pPr>
    <w:rPr>
      <w:rFonts w:ascii="Georgia" w:cs="Georgia" w:eastAsia="Georgia" w:hAnsi="Georgia"/>
      <w:b/>
      <w:bCs/>
      <w:color w:val="5F684C"/>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2026-06-08T16:35:46.898Z</dcterms:created>
  <dcterms:modified xsi:type="dcterms:W3CDTF">2026-06-08T16:35:46.898Z</dcterms:modified>
</cp:coreProperties>
</file>

<file path=docProps/custom.xml><?xml version="1.0" encoding="utf-8"?>
<Properties xmlns="http://schemas.openxmlformats.org/officeDocument/2006/custom-properties" xmlns:vt="http://schemas.openxmlformats.org/officeDocument/2006/docPropsVTypes"/>
</file>