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7B2D26"/>
          <w:spacing w:val="30"/>
          <w:sz w:val="16"/>
          <w:szCs w:val="16"/>
        </w:rPr>
        <w:t xml:space="preserve">ADMINISTRATION · A WORKING GUIDE</w:t>
      </w:r>
    </w:p>
    <w:p>
      <w:pPr>
        <w:pStyle w:val="Title"/>
      </w:pPr>
      <w:r>
        <w:t xml:space="preserve">Running a Congregational Vision Process</w:t>
      </w:r>
    </w:p>
    <w:p>
      <w:pPr>
        <w:pBdr>
          <w:bottom w:val="single" w:color="C8BDA3" w:sz="6" w:space="1"/>
        </w:pBdr>
        <w:spacing w:after="160"/>
      </w:pPr>
    </w:p>
    <w:p>
      <w:pPr>
        <w:spacing w:after="120" w:line="300"/>
      </w:pPr>
      <w:r>
        <w:rPr>
          <w:i/>
          <w:iCs/>
          <w:color w:val="6E675A"/>
        </w:rPr>
        <w:t xml:space="preserve">How one congregation moved from a season of disruption to a shared vision statement and a slate of new ministries, told as a process another church can follow. Drawn from Spanish Fort UMC's 2025 Vision Team.</w:t>
      </w:r>
    </w:p>
    <w:p>
      <w:pPr>
        <w:spacing w:after="120" w:line="300"/>
      </w:pPr>
      <w:r>
        <w:t xml:space="preserve">A vision process is not a staff retreat that produces a slogan. Done well, it is a months-long act of congregational discernment that listens widely, names what the church most values, and turns that into a small number of concrete commitments the church will actually launch. This guide lays out the shape of one such process so another congregation can adapt it.</w:t>
      </w:r>
    </w:p>
    <w:p>
      <w:pPr>
        <w:pStyle w:val="Heading1"/>
      </w:pPr>
      <w:r>
        <w:t xml:space="preserve">When to do this</w:t>
      </w:r>
    </w:p>
    <w:p>
      <w:pPr>
        <w:spacing w:after="120" w:line="300"/>
      </w:pPr>
      <w:r>
        <w:t xml:space="preserve">A vision process is worth the effort at a hinge moment: after a pastoral transition, after a season of conflict or loss, after significant growth or decline, or simply when a church senses it is busy without being clear. Spanish Fort UMC ran its process in 2025, the year after a denominational split, when the congregation needed both healing and direction.</w:t>
      </w:r>
    </w:p>
    <w:p>
      <w:pPr>
        <w:pStyle w:val="Heading1"/>
      </w:pPr>
      <w:r>
        <w:t xml:space="preserve">The team</w:t>
      </w:r>
    </w:p>
    <w:p>
      <w:pPr>
        <w:spacing w:after="120" w:line="300"/>
      </w:pPr>
      <w:r>
        <w:t xml:space="preserve">Recruit a team of roughly ten to twelve people chosen to represent the breadth of the congregation rather than its loudest voices or its officers. Include youth as full members, not observers. Name the lay leader to the team. Expect to meet monthly for three to four hours over the better part of a year. A team that genuinely represents the congregation will produce recommendations the congregation recognizes as its own.</w:t>
      </w:r>
    </w:p>
    <w:p>
      <w:pPr>
        <w:pStyle w:val="Heading1"/>
      </w:pPr>
      <w:r>
        <w:t xml:space="preserve">The format</w:t>
      </w:r>
    </w:p>
    <w:p>
      <w:pPr>
        <w:spacing w:after="120" w:line="300"/>
      </w:pPr>
      <w:r>
        <w:t xml:space="preserve">The Spanish Fort process rested on four legs that reinforced each other:</w:t>
      </w:r>
    </w:p>
    <w:p>
      <w:pPr>
        <w:pStyle w:val="ListParagraph"/>
        <w:numPr>
          <w:ilvl w:val="0"/>
          <w:numId w:val="2"/>
        </w:numPr>
        <w:spacing w:after="60" w:line="300"/>
      </w:pPr>
      <w:r>
        <w:t xml:space="preserve">Listening sessions in homes. Six in-home gatherings, each with a cross-section of members, each working through the same set of questions so the results could be compared across sessions.</w:t>
      </w:r>
    </w:p>
    <w:p>
      <w:pPr>
        <w:pStyle w:val="ListParagraph"/>
        <w:numPr>
          <w:ilvl w:val="0"/>
          <w:numId w:val="2"/>
        </w:numPr>
        <w:spacing w:after="60" w:line="300"/>
      </w:pPr>
      <w:r>
        <w:t xml:space="preserve">A congregational survey. A written survey distributed to the whole congregation over several weeks, so the listening reached people who would never attend a session.</w:t>
      </w:r>
    </w:p>
    <w:p>
      <w:pPr>
        <w:pStyle w:val="ListParagraph"/>
        <w:numPr>
          <w:ilvl w:val="0"/>
          <w:numId w:val="2"/>
        </w:numPr>
        <w:spacing w:after="60" w:line="300"/>
      </w:pPr>
      <w:r>
        <w:t xml:space="preserve">Shared reading. The team read summaries of a common set of books on church leadership and vision, giving everyone a shared vocabulary. The full reading list is below.</w:t>
      </w:r>
    </w:p>
    <w:p>
      <w:pPr>
        <w:pStyle w:val="ListParagraph"/>
        <w:numPr>
          <w:ilvl w:val="0"/>
          <w:numId w:val="2"/>
        </w:numPr>
        <w:spacing w:after="60" w:line="300"/>
      </w:pPr>
      <w:r>
        <w:t xml:space="preserve">Prayer and scripture. The discernment was framed throughout as listening for God's direction, not running a focus group.</w:t>
      </w:r>
    </w:p>
    <w:p>
      <w:pPr>
        <w:pStyle w:val="Heading1"/>
      </w:pPr>
      <w:r>
        <w:t xml:space="preserve">The four questions</w:t>
      </w:r>
    </w:p>
    <w:p>
      <w:pPr>
        <w:spacing w:after="120" w:line="300"/>
      </w:pPr>
      <w:r>
        <w:t xml:space="preserve">Every listening session and the survey worked through the same four areas. Keeping the questions identical across sessions is what let the team see which themes were genuinely widespread rather than the preference of one room:</w:t>
      </w:r>
    </w:p>
    <w:p>
      <w:pPr>
        <w:pStyle w:val="ListParagraph"/>
        <w:numPr>
          <w:ilvl w:val="0"/>
          <w:numId w:val="3"/>
        </w:numPr>
        <w:spacing w:after="60" w:line="300"/>
      </w:pPr>
      <w:r>
        <w:t xml:space="preserve">Missional effort: how should we serve our community?</w:t>
      </w:r>
    </w:p>
    <w:p>
      <w:pPr>
        <w:pStyle w:val="ListParagraph"/>
        <w:numPr>
          <w:ilvl w:val="0"/>
          <w:numId w:val="3"/>
        </w:numPr>
        <w:spacing w:after="60" w:line="300"/>
      </w:pPr>
      <w:r>
        <w:t xml:space="preserve">Worship: what do we hope for in our worship life?</w:t>
      </w:r>
    </w:p>
    <w:p>
      <w:pPr>
        <w:pStyle w:val="ListParagraph"/>
        <w:numPr>
          <w:ilvl w:val="0"/>
          <w:numId w:val="3"/>
        </w:numPr>
        <w:spacing w:after="60" w:line="300"/>
      </w:pPr>
      <w:r>
        <w:t xml:space="preserve">Fellowship: how do we want to connect with one another?</w:t>
      </w:r>
    </w:p>
    <w:p>
      <w:pPr>
        <w:pStyle w:val="ListParagraph"/>
        <w:numPr>
          <w:ilvl w:val="0"/>
          <w:numId w:val="3"/>
        </w:numPr>
        <w:spacing w:after="60" w:line="300"/>
      </w:pPr>
      <w:r>
        <w:t xml:space="preserve">Discipleship: how do we want to grow in faith?</w:t>
      </w:r>
    </w:p>
    <w:p>
      <w:pPr>
        <w:spacing w:after="120" w:line="300"/>
      </w:pPr>
      <w:r>
        <w:t xml:space="preserve">The survey added two framing questions that proved especially revealing: what do you hope never changes, and what would you change? The first surfaces a congregation's core identity; the second surfaces its frustrations and hopes. Spanish Fort's most frequent answers were a welcoming culture it wanted to protect and a longing to consolidate its scattered campuses.</w:t>
      </w:r>
    </w:p>
    <w:p>
      <w:pPr>
        <w:pStyle w:val="Heading1"/>
      </w:pPr>
      <w:r>
        <w:t xml:space="preserve">From listening to a statement</w:t>
      </w:r>
    </w:p>
    <w:p>
      <w:pPr>
        <w:spacing w:after="120" w:line="300"/>
      </w:pPr>
      <w:r>
        <w:t xml:space="preserve">After the listening, the team named the recurring themes and let them shape language. Spanish Fort adopted the denomination's mission statement, to make disciples of Jesus Christ for the transformation of the world, and then wrote its own vision statement to say how this congregation would live that out:</w:t>
      </w:r>
    </w:p>
    <w:p>
      <w:pPr>
        <w:spacing w:after="120" w:line="300"/>
      </w:pPr>
      <w:r>
        <w:rPr>
          <w:i/>
          <w:iCs/>
          <w:color w:val="7B2D26"/>
        </w:rPr>
        <w:t xml:space="preserve">“To be a home connecting all people through worship, service, fellowship, and discipleship, guided by Christ's love.”</w:t>
      </w:r>
    </w:p>
    <w:p>
      <w:pPr>
        <w:spacing w:after="120" w:line="300"/>
      </w:pPr>
      <w:r>
        <w:t xml:space="preserve">Four core values fell out of the statement and became the organizing frame for everything that followed: Worship, Service, Connection, and Growth. Drafting several candidate statements and living with them before choosing is worth the extra weeks; the final wording should feel inevitable, not clever.</w:t>
      </w:r>
    </w:p>
    <w:p>
      <w:pPr>
        <w:pStyle w:val="Heading1"/>
      </w:pPr>
      <w:r>
        <w:t xml:space="preserve">From a statement to actual ministries</w:t>
      </w:r>
    </w:p>
    <w:p>
      <w:pPr>
        <w:spacing w:after="120" w:line="300"/>
      </w:pPr>
      <w:r>
        <w:t xml:space="preserve">The step most vision processes skip is the most important one: turning the statement into a short list of things the church will actually start. Spanish Fort's team translated its recurring themes into concrete recommendations, and within a year nearly all had launched: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DDD3BF" w:sz="1"/>
              <w:left w:val="single" w:color="DDD3BF" w:sz="1"/>
              <w:bottom w:val="single" w:color="DDD3BF" w:sz="1"/>
              <w:right w:val="single" w:color="DDD3BF" w:sz="1"/>
            </w:tcBorders>
            <w:shd w:fill="F4EFE3" w:val="clear"/>
            <w:tcMar>
              <w:top w:type="dxa" w:w="80"/>
              <w:left w:type="dxa" w:w="140"/>
              <w:bottom w:type="dxa" w:w="80"/>
              <w:right w:type="dxa" w:w="140"/>
            </w:tcMar>
          </w:tcPr>
          <w:p>
            <w:r>
              <w:rPr>
                <w:b/>
                <w:bCs/>
                <w:color w:val="5F684C"/>
              </w:rPr>
              <w:t xml:space="preserve">Community Dinner</w:t>
            </w:r>
          </w:p>
        </w:tc>
        <w:tc>
          <w:tcPr>
            <w:tcW w:type="dxa" w:w="7160"/>
            <w:tcBorders>
              <w:top w:val="single" w:color="DDD3BF" w:sz="1"/>
              <w:left w:val="single" w:color="DDD3BF" w:sz="1"/>
              <w:bottom w:val="single" w:color="DDD3BF" w:sz="1"/>
              <w:right w:val="single" w:color="DDD3BF" w:sz="1"/>
            </w:tcBorders>
            <w:tcMar>
              <w:top w:type="dxa" w:w="80"/>
              <w:left w:type="dxa" w:w="140"/>
              <w:bottom w:type="dxa" w:w="80"/>
              <w:right w:type="dxa" w:w="140"/>
            </w:tcMar>
          </w:tcPr>
          <w:p>
            <w:r>
              <w:t xml:space="preserve">A weekly shared meal with fellowship, practical support, and childcare, for the community rather than the congregation. Came directly from the repeated call for Wednesday-night meals.</w:t>
            </w:r>
          </w:p>
        </w:tc>
      </w:tr>
      <w:tr>
        <w:tc>
          <w:tcPr>
            <w:tcW w:type="dxa" w:w="2200"/>
            <w:tcBorders>
              <w:top w:val="single" w:color="DDD3BF" w:sz="1"/>
              <w:left w:val="single" w:color="DDD3BF" w:sz="1"/>
              <w:bottom w:val="single" w:color="DDD3BF" w:sz="1"/>
              <w:right w:val="single" w:color="DDD3BF" w:sz="1"/>
            </w:tcBorders>
            <w:shd w:fill="F4EFE3" w:val="clear"/>
            <w:tcMar>
              <w:top w:type="dxa" w:w="80"/>
              <w:left w:type="dxa" w:w="140"/>
              <w:bottom w:type="dxa" w:w="80"/>
              <w:right w:type="dxa" w:w="140"/>
            </w:tcMar>
          </w:tcPr>
          <w:p>
            <w:r>
              <w:rPr>
                <w:b/>
                <w:bCs/>
                <w:color w:val="5F684C"/>
              </w:rPr>
              <w:t xml:space="preserve">Pop-Up Thrift Store</w:t>
            </w:r>
          </w:p>
        </w:tc>
        <w:tc>
          <w:tcPr>
            <w:tcW w:type="dxa" w:w="7160"/>
            <w:tcBorders>
              <w:top w:val="single" w:color="DDD3BF" w:sz="1"/>
              <w:left w:val="single" w:color="DDD3BF" w:sz="1"/>
              <w:bottom w:val="single" w:color="DDD3BF" w:sz="1"/>
              <w:right w:val="single" w:color="DDD3BF" w:sz="1"/>
            </w:tcBorders>
            <w:tcMar>
              <w:top w:type="dxa" w:w="80"/>
              <w:left w:type="dxa" w:w="140"/>
              <w:bottom w:type="dxa" w:w="80"/>
              <w:right w:type="dxa" w:w="140"/>
            </w:tcMar>
          </w:tcPr>
          <w:p>
            <w:r>
              <w:t xml:space="preserve">Bi-annual sales, items offered free to those in need before being sold to the public, proceeds to missions. Came from repeated calls for a thrift or consignment ministry.</w:t>
            </w:r>
          </w:p>
        </w:tc>
      </w:tr>
      <w:tr>
        <w:tc>
          <w:tcPr>
            <w:tcW w:type="dxa" w:w="2200"/>
            <w:tcBorders>
              <w:top w:val="single" w:color="DDD3BF" w:sz="1"/>
              <w:left w:val="single" w:color="DDD3BF" w:sz="1"/>
              <w:bottom w:val="single" w:color="DDD3BF" w:sz="1"/>
              <w:right w:val="single" w:color="DDD3BF" w:sz="1"/>
            </w:tcBorders>
            <w:shd w:fill="F4EFE3" w:val="clear"/>
            <w:tcMar>
              <w:top w:type="dxa" w:w="80"/>
              <w:left w:type="dxa" w:w="140"/>
              <w:bottom w:type="dxa" w:w="80"/>
              <w:right w:type="dxa" w:w="140"/>
            </w:tcMar>
          </w:tcPr>
          <w:p>
            <w:r>
              <w:rPr>
                <w:b/>
                <w:bCs/>
                <w:color w:val="5F684C"/>
              </w:rPr>
              <w:t xml:space="preserve">Fellowship Groups</w:t>
            </w:r>
          </w:p>
        </w:tc>
        <w:tc>
          <w:tcPr>
            <w:tcW w:type="dxa" w:w="7160"/>
            <w:tcBorders>
              <w:top w:val="single" w:color="DDD3BF" w:sz="1"/>
              <w:left w:val="single" w:color="DDD3BF" w:sz="1"/>
              <w:bottom w:val="single" w:color="DDD3BF" w:sz="1"/>
              <w:right w:val="single" w:color="DDD3BF" w:sz="1"/>
            </w:tcBorders>
            <w:tcMar>
              <w:top w:type="dxa" w:w="80"/>
              <w:left w:type="dxa" w:w="140"/>
              <w:bottom w:type="dxa" w:w="80"/>
              <w:right w:type="dxa" w:w="140"/>
            </w:tcMar>
          </w:tcPr>
          <w:p>
            <w:r>
              <w:t xml:space="preserve">Supper clubs and affinity groups unified under one name, lowering the bar to connection.</w:t>
            </w:r>
          </w:p>
        </w:tc>
      </w:tr>
      <w:tr>
        <w:tc>
          <w:tcPr>
            <w:tcW w:type="dxa" w:w="2200"/>
            <w:tcBorders>
              <w:top w:val="single" w:color="DDD3BF" w:sz="1"/>
              <w:left w:val="single" w:color="DDD3BF" w:sz="1"/>
              <w:bottom w:val="single" w:color="DDD3BF" w:sz="1"/>
              <w:right w:val="single" w:color="DDD3BF" w:sz="1"/>
            </w:tcBorders>
            <w:shd w:fill="F4EFE3" w:val="clear"/>
            <w:tcMar>
              <w:top w:type="dxa" w:w="80"/>
              <w:left w:type="dxa" w:w="140"/>
              <w:bottom w:type="dxa" w:w="80"/>
              <w:right w:type="dxa" w:w="140"/>
            </w:tcMar>
          </w:tcPr>
          <w:p>
            <w:r>
              <w:rPr>
                <w:b/>
                <w:bCs/>
                <w:color w:val="5F684C"/>
              </w:rPr>
              <w:t xml:space="preserve">Discipleship Groups</w:t>
            </w:r>
          </w:p>
        </w:tc>
        <w:tc>
          <w:tcPr>
            <w:tcW w:type="dxa" w:w="7160"/>
            <w:tcBorders>
              <w:top w:val="single" w:color="DDD3BF" w:sz="1"/>
              <w:left w:val="single" w:color="DDD3BF" w:sz="1"/>
              <w:bottom w:val="single" w:color="DDD3BF" w:sz="1"/>
              <w:right w:val="single" w:color="DDD3BF" w:sz="1"/>
            </w:tcBorders>
            <w:tcMar>
              <w:top w:type="dxa" w:w="80"/>
              <w:left w:type="dxa" w:w="140"/>
              <w:bottom w:type="dxa" w:w="80"/>
              <w:right w:type="dxa" w:w="140"/>
            </w:tcMar>
          </w:tcPr>
          <w:p>
            <w:r>
              <w:t xml:space="preserve">Existing classes and studies rebranded and expanded under one banner.</w:t>
            </w:r>
          </w:p>
        </w:tc>
      </w:tr>
      <w:tr>
        <w:tc>
          <w:tcPr>
            <w:tcW w:type="dxa" w:w="2200"/>
            <w:tcBorders>
              <w:top w:val="single" w:color="DDD3BF" w:sz="1"/>
              <w:left w:val="single" w:color="DDD3BF" w:sz="1"/>
              <w:bottom w:val="single" w:color="DDD3BF" w:sz="1"/>
              <w:right w:val="single" w:color="DDD3BF" w:sz="1"/>
            </w:tcBorders>
            <w:shd w:fill="F4EFE3" w:val="clear"/>
            <w:tcMar>
              <w:top w:type="dxa" w:w="80"/>
              <w:left w:type="dxa" w:w="140"/>
              <w:bottom w:type="dxa" w:w="80"/>
              <w:right w:type="dxa" w:w="140"/>
            </w:tcMar>
          </w:tcPr>
          <w:p>
            <w:r>
              <w:rPr>
                <w:b/>
                <w:bCs/>
                <w:color w:val="5F684C"/>
              </w:rPr>
              <w:t xml:space="preserve">Building Committee</w:t>
            </w:r>
          </w:p>
        </w:tc>
        <w:tc>
          <w:tcPr>
            <w:tcW w:type="dxa" w:w="7160"/>
            <w:tcBorders>
              <w:top w:val="single" w:color="DDD3BF" w:sz="1"/>
              <w:left w:val="single" w:color="DDD3BF" w:sz="1"/>
              <w:bottom w:val="single" w:color="DDD3BF" w:sz="1"/>
              <w:right w:val="single" w:color="DDD3BF" w:sz="1"/>
            </w:tcBorders>
            <w:tcMar>
              <w:top w:type="dxa" w:w="80"/>
              <w:left w:type="dxa" w:w="140"/>
              <w:bottom w:type="dxa" w:w="80"/>
              <w:right w:type="dxa" w:w="140"/>
            </w:tcMar>
          </w:tcPr>
          <w:p>
            <w:r>
              <w:t xml:space="preserve">Formed to evaluate how the church's facilities could serve its future ministry. See the companion guide on forming a building committee.</w:t>
            </w:r>
          </w:p>
        </w:tc>
      </w:tr>
    </w:tbl>
    <w:p>
      <w:pPr>
        <w:spacing w:after="120" w:line="300"/>
      </w:pPr>
      <w:r>
        <w:t xml:space="preserve">The discipline worth copying: the vision process is the single source these initiatives came from. What can look from the outside like a lot of unrelated new programs starting at once is, underneath, one act of discernment expressing itself in several rooms of the church.</w:t>
      </w:r>
    </w:p>
    <w:p>
      <w:pPr>
        <w:pStyle w:val="Heading1"/>
      </w:pPr>
      <w:r>
        <w:t xml:space="preserve">A note on what does not get launched</w:t>
      </w:r>
    </w:p>
    <w:p>
      <w:pPr>
        <w:spacing w:after="120" w:line="300"/>
      </w:pPr>
      <w:r>
        <w:t xml:space="preserve">Be honest that not everything named will start. Spanish Fort's congregation ranked respite care for caregivers as its highest community priority, but the church launched the second-ranked option, the Community Dinner, because it was operationally simpler to begin. Naming the unmet needs out loud keeps them on the table rather than pretending the process answered everything.</w:t>
      </w:r>
    </w:p>
    <w:p>
      <w:pPr>
        <w:pStyle w:val="Heading1"/>
      </w:pPr>
      <w:r>
        <w:t xml:space="preserve">Timeline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tcBorders>
              <w:top w:val="single" w:color="DDD3BF" w:sz="1"/>
              <w:left w:val="single" w:color="DDD3BF" w:sz="1"/>
              <w:bottom w:val="single" w:color="DDD3BF" w:sz="1"/>
              <w:right w:val="single" w:color="DDD3BF" w:sz="1"/>
            </w:tcBorders>
            <w:shd w:fill="F4EFE3" w:val="clear"/>
            <w:tcMar>
              <w:top w:type="dxa" w:w="80"/>
              <w:left w:type="dxa" w:w="140"/>
              <w:bottom w:type="dxa" w:w="80"/>
              <w:right w:type="dxa" w:w="140"/>
            </w:tcMar>
          </w:tcPr>
          <w:p>
            <w:r>
              <w:rPr>
                <w:b/>
                <w:bCs/>
                <w:color w:val="5F684C"/>
              </w:rPr>
              <w:t xml:space="preserve">Early in the year</w:t>
            </w:r>
          </w:p>
        </w:tc>
        <w:tc>
          <w:tcPr>
            <w:tcW w:type="dxa" w:w="6760"/>
            <w:tcBorders>
              <w:top w:val="single" w:color="DDD3BF" w:sz="1"/>
              <w:left w:val="single" w:color="DDD3BF" w:sz="1"/>
              <w:bottom w:val="single" w:color="DDD3BF" w:sz="1"/>
              <w:right w:val="single" w:color="DDD3BF" w:sz="1"/>
            </w:tcBorders>
            <w:tcMar>
              <w:top w:type="dxa" w:w="80"/>
              <w:left w:type="dxa" w:w="140"/>
              <w:bottom w:type="dxa" w:w="80"/>
              <w:right w:type="dxa" w:w="140"/>
            </w:tcMar>
          </w:tcPr>
          <w:p>
            <w:r>
              <w:t xml:space="preserve">Team formed and oriented; reading begins</w:t>
            </w:r>
          </w:p>
        </w:tc>
      </w:tr>
      <w:tr>
        <w:tc>
          <w:tcPr>
            <w:tcW w:type="dxa" w:w="2600"/>
            <w:tcBorders>
              <w:top w:val="single" w:color="DDD3BF" w:sz="1"/>
              <w:left w:val="single" w:color="DDD3BF" w:sz="1"/>
              <w:bottom w:val="single" w:color="DDD3BF" w:sz="1"/>
              <w:right w:val="single" w:color="DDD3BF" w:sz="1"/>
            </w:tcBorders>
            <w:shd w:fill="F4EFE3" w:val="clear"/>
            <w:tcMar>
              <w:top w:type="dxa" w:w="80"/>
              <w:left w:type="dxa" w:w="140"/>
              <w:bottom w:type="dxa" w:w="80"/>
              <w:right w:type="dxa" w:w="140"/>
            </w:tcMar>
          </w:tcPr>
          <w:p>
            <w:r>
              <w:rPr>
                <w:b/>
                <w:bCs/>
                <w:color w:val="5F684C"/>
              </w:rPr>
              <w:t xml:space="preserve">Spring</w:t>
            </w:r>
          </w:p>
        </w:tc>
        <w:tc>
          <w:tcPr>
            <w:tcW w:type="dxa" w:w="6760"/>
            <w:tcBorders>
              <w:top w:val="single" w:color="DDD3BF" w:sz="1"/>
              <w:left w:val="single" w:color="DDD3BF" w:sz="1"/>
              <w:bottom w:val="single" w:color="DDD3BF" w:sz="1"/>
              <w:right w:val="single" w:color="DDD3BF" w:sz="1"/>
            </w:tcBorders>
            <w:tcMar>
              <w:top w:type="dxa" w:w="80"/>
              <w:left w:type="dxa" w:w="140"/>
              <w:bottom w:type="dxa" w:w="80"/>
              <w:right w:type="dxa" w:w="140"/>
            </w:tcMar>
          </w:tcPr>
          <w:p>
            <w:r>
              <w:t xml:space="preserve">Congregational survey distributed and collected</w:t>
            </w:r>
          </w:p>
        </w:tc>
      </w:tr>
      <w:tr>
        <w:tc>
          <w:tcPr>
            <w:tcW w:type="dxa" w:w="2600"/>
            <w:tcBorders>
              <w:top w:val="single" w:color="DDD3BF" w:sz="1"/>
              <w:left w:val="single" w:color="DDD3BF" w:sz="1"/>
              <w:bottom w:val="single" w:color="DDD3BF" w:sz="1"/>
              <w:right w:val="single" w:color="DDD3BF" w:sz="1"/>
            </w:tcBorders>
            <w:shd w:fill="F4EFE3" w:val="clear"/>
            <w:tcMar>
              <w:top w:type="dxa" w:w="80"/>
              <w:left w:type="dxa" w:w="140"/>
              <w:bottom w:type="dxa" w:w="80"/>
              <w:right w:type="dxa" w:w="140"/>
            </w:tcMar>
          </w:tcPr>
          <w:p>
            <w:r>
              <w:rPr>
                <w:b/>
                <w:bCs/>
                <w:color w:val="5F684C"/>
              </w:rPr>
              <w:t xml:space="preserve">Early summer</w:t>
            </w:r>
          </w:p>
        </w:tc>
        <w:tc>
          <w:tcPr>
            <w:tcW w:type="dxa" w:w="6760"/>
            <w:tcBorders>
              <w:top w:val="single" w:color="DDD3BF" w:sz="1"/>
              <w:left w:val="single" w:color="DDD3BF" w:sz="1"/>
              <w:bottom w:val="single" w:color="DDD3BF" w:sz="1"/>
              <w:right w:val="single" w:color="DDD3BF" w:sz="1"/>
            </w:tcBorders>
            <w:tcMar>
              <w:top w:type="dxa" w:w="80"/>
              <w:left w:type="dxa" w:w="140"/>
              <w:bottom w:type="dxa" w:w="80"/>
              <w:right w:type="dxa" w:w="140"/>
            </w:tcMar>
          </w:tcPr>
          <w:p>
            <w:r>
              <w:t xml:space="preserve">Listening sessions conducted over a few weeks</w:t>
            </w:r>
          </w:p>
        </w:tc>
      </w:tr>
      <w:tr>
        <w:tc>
          <w:tcPr>
            <w:tcW w:type="dxa" w:w="2600"/>
            <w:tcBorders>
              <w:top w:val="single" w:color="DDD3BF" w:sz="1"/>
              <w:left w:val="single" w:color="DDD3BF" w:sz="1"/>
              <w:bottom w:val="single" w:color="DDD3BF" w:sz="1"/>
              <w:right w:val="single" w:color="DDD3BF" w:sz="1"/>
            </w:tcBorders>
            <w:shd w:fill="F4EFE3" w:val="clear"/>
            <w:tcMar>
              <w:top w:type="dxa" w:w="80"/>
              <w:left w:type="dxa" w:w="140"/>
              <w:bottom w:type="dxa" w:w="80"/>
              <w:right w:type="dxa" w:w="140"/>
            </w:tcMar>
          </w:tcPr>
          <w:p>
            <w:r>
              <w:rPr>
                <w:b/>
                <w:bCs/>
                <w:color w:val="5F684C"/>
              </w:rPr>
              <w:t xml:space="preserve">Late summer</w:t>
            </w:r>
          </w:p>
        </w:tc>
        <w:tc>
          <w:tcPr>
            <w:tcW w:type="dxa" w:w="6760"/>
            <w:tcBorders>
              <w:top w:val="single" w:color="DDD3BF" w:sz="1"/>
              <w:left w:val="single" w:color="DDD3BF" w:sz="1"/>
              <w:bottom w:val="single" w:color="DDD3BF" w:sz="1"/>
              <w:right w:val="single" w:color="DDD3BF" w:sz="1"/>
            </w:tcBorders>
            <w:tcMar>
              <w:top w:type="dxa" w:w="80"/>
              <w:left w:type="dxa" w:w="140"/>
              <w:bottom w:type="dxa" w:w="80"/>
              <w:right w:type="dxa" w:w="140"/>
            </w:tcMar>
          </w:tcPr>
          <w:p>
            <w:r>
              <w:t xml:space="preserve">Themes named, vision statement finalized and announced in worship</w:t>
            </w:r>
          </w:p>
        </w:tc>
      </w:tr>
      <w:tr>
        <w:tc>
          <w:tcPr>
            <w:tcW w:type="dxa" w:w="2600"/>
            <w:tcBorders>
              <w:top w:val="single" w:color="DDD3BF" w:sz="1"/>
              <w:left w:val="single" w:color="DDD3BF" w:sz="1"/>
              <w:bottom w:val="single" w:color="DDD3BF" w:sz="1"/>
              <w:right w:val="single" w:color="DDD3BF" w:sz="1"/>
            </w:tcBorders>
            <w:shd w:fill="F4EFE3" w:val="clear"/>
            <w:tcMar>
              <w:top w:type="dxa" w:w="80"/>
              <w:left w:type="dxa" w:w="140"/>
              <w:bottom w:type="dxa" w:w="80"/>
              <w:right w:type="dxa" w:w="140"/>
            </w:tcMar>
          </w:tcPr>
          <w:p>
            <w:r>
              <w:rPr>
                <w:b/>
                <w:bCs/>
                <w:color w:val="5F684C"/>
              </w:rPr>
              <w:t xml:space="preserve">Following fall</w:t>
            </w:r>
          </w:p>
        </w:tc>
        <w:tc>
          <w:tcPr>
            <w:tcW w:type="dxa" w:w="6760"/>
            <w:tcBorders>
              <w:top w:val="single" w:color="DDD3BF" w:sz="1"/>
              <w:left w:val="single" w:color="DDD3BF" w:sz="1"/>
              <w:bottom w:val="single" w:color="DDD3BF" w:sz="1"/>
              <w:right w:val="single" w:color="DDD3BF" w:sz="1"/>
            </w:tcBorders>
            <w:tcMar>
              <w:top w:type="dxa" w:w="80"/>
              <w:left w:type="dxa" w:w="140"/>
              <w:bottom w:type="dxa" w:w="80"/>
              <w:right w:type="dxa" w:w="140"/>
            </w:tcMar>
          </w:tcPr>
          <w:p>
            <w:r>
              <w:t xml:space="preserve">Plans built for the recommended ministries</w:t>
            </w:r>
          </w:p>
        </w:tc>
      </w:tr>
      <w:tr>
        <w:tc>
          <w:tcPr>
            <w:tcW w:type="dxa" w:w="2600"/>
            <w:tcBorders>
              <w:top w:val="single" w:color="DDD3BF" w:sz="1"/>
              <w:left w:val="single" w:color="DDD3BF" w:sz="1"/>
              <w:bottom w:val="single" w:color="DDD3BF" w:sz="1"/>
              <w:right w:val="single" w:color="DDD3BF" w:sz="1"/>
            </w:tcBorders>
            <w:shd w:fill="F4EFE3" w:val="clear"/>
            <w:tcMar>
              <w:top w:type="dxa" w:w="80"/>
              <w:left w:type="dxa" w:w="140"/>
              <w:bottom w:type="dxa" w:w="80"/>
              <w:right w:type="dxa" w:w="140"/>
            </w:tcMar>
          </w:tcPr>
          <w:p>
            <w:r>
              <w:rPr>
                <w:b/>
                <w:bCs/>
                <w:color w:val="5F684C"/>
              </w:rPr>
              <w:t xml:space="preserve">Next year</w:t>
            </w:r>
          </w:p>
        </w:tc>
        <w:tc>
          <w:tcPr>
            <w:tcW w:type="dxa" w:w="6760"/>
            <w:tcBorders>
              <w:top w:val="single" w:color="DDD3BF" w:sz="1"/>
              <w:left w:val="single" w:color="DDD3BF" w:sz="1"/>
              <w:bottom w:val="single" w:color="DDD3BF" w:sz="1"/>
              <w:right w:val="single" w:color="DDD3BF" w:sz="1"/>
            </w:tcBorders>
            <w:tcMar>
              <w:top w:type="dxa" w:w="80"/>
              <w:left w:type="dxa" w:w="140"/>
              <w:bottom w:type="dxa" w:w="80"/>
              <w:right w:type="dxa" w:w="140"/>
            </w:tcMar>
          </w:tcPr>
          <w:p>
            <w:r>
              <w:t xml:space="preserve">Recommended ministries launch</w:t>
            </w:r>
          </w:p>
        </w:tc>
      </w:tr>
    </w:tbl>
    <w:p>
      <w:pPr>
        <w:pStyle w:val="Heading1"/>
      </w:pPr>
      <w:r>
        <w:t xml:space="preserve">Vision Team reading list</w:t>
      </w:r>
    </w:p>
    <w:p>
      <w:pPr>
        <w:spacing w:after="120" w:line="300"/>
      </w:pPr>
      <w:r>
        <w:t xml:space="preserve">The team read summaries of these works. The list doubles as a starting library for any church beginning this work:</w:t>
      </w:r>
    </w:p>
    <w:p>
      <w:pPr>
        <w:pStyle w:val="ListParagraph"/>
        <w:numPr>
          <w:ilvl w:val="0"/>
          <w:numId w:val="2"/>
        </w:numPr>
        <w:spacing w:after="60" w:line="300"/>
      </w:pPr>
      <w:r>
        <w:t xml:space="preserve">Advanced Strategic Planning, Aubrey Malphurs</w:t>
      </w:r>
    </w:p>
    <w:p>
      <w:pPr>
        <w:pStyle w:val="ListParagraph"/>
        <w:numPr>
          <w:ilvl w:val="0"/>
          <w:numId w:val="2"/>
        </w:numPr>
        <w:spacing w:after="60" w:line="300"/>
      </w:pPr>
      <w:r>
        <w:t xml:space="preserve">Church Leadership: Vision, Team, Culture, and Integrity, Lovett H. Weems Jr.</w:t>
      </w:r>
    </w:p>
    <w:p>
      <w:pPr>
        <w:pStyle w:val="ListParagraph"/>
        <w:numPr>
          <w:ilvl w:val="0"/>
          <w:numId w:val="2"/>
        </w:numPr>
        <w:spacing w:after="60" w:line="300"/>
      </w:pPr>
      <w:r>
        <w:t xml:space="preserve">Leadership on the Line, Marty Linsky and Ronald Heifetz</w:t>
      </w:r>
    </w:p>
    <w:p>
      <w:pPr>
        <w:pStyle w:val="ListParagraph"/>
        <w:numPr>
          <w:ilvl w:val="0"/>
          <w:numId w:val="2"/>
        </w:numPr>
        <w:spacing w:after="60" w:line="300"/>
      </w:pPr>
      <w:r>
        <w:t xml:space="preserve">Rocking the Boat: How to Effect Change Without Making Trouble, Debra Meyerson</w:t>
      </w:r>
    </w:p>
    <w:p>
      <w:pPr>
        <w:pStyle w:val="ListParagraph"/>
        <w:numPr>
          <w:ilvl w:val="0"/>
          <w:numId w:val="2"/>
        </w:numPr>
        <w:spacing w:after="60" w:line="300"/>
      </w:pPr>
      <w:r>
        <w:t xml:space="preserve">The Seven Practices of Effective Ministry, Andy Stanley</w:t>
      </w:r>
    </w:p>
    <w:p>
      <w:pPr>
        <w:pStyle w:val="ListParagraph"/>
        <w:numPr>
          <w:ilvl w:val="0"/>
          <w:numId w:val="2"/>
        </w:numPr>
        <w:spacing w:after="60" w:line="300"/>
      </w:pPr>
      <w:r>
        <w:t xml:space="preserve">Made to Stick, Chip and Dan Heath</w:t>
      </w:r>
    </w:p>
    <w:p>
      <w:pPr>
        <w:pStyle w:val="ListParagraph"/>
        <w:numPr>
          <w:ilvl w:val="0"/>
          <w:numId w:val="2"/>
        </w:numPr>
        <w:spacing w:after="60" w:line="300"/>
      </w:pPr>
      <w:r>
        <w:t xml:space="preserve">The 21 Irrefutable Laws of Leadership, John Maxwell</w:t>
      </w:r>
    </w:p>
    <w:p>
      <w:pPr>
        <w:pStyle w:val="ListParagraph"/>
        <w:numPr>
          <w:ilvl w:val="0"/>
          <w:numId w:val="2"/>
        </w:numPr>
        <w:spacing w:after="60" w:line="300"/>
      </w:pPr>
      <w:r>
        <w:t xml:space="preserve">The Innovator's Dilemma, Clayton M. Christensen</w:t>
      </w:r>
    </w:p>
    <w:p>
      <w:pPr>
        <w:pStyle w:val="ListParagraph"/>
        <w:numPr>
          <w:ilvl w:val="0"/>
          <w:numId w:val="2"/>
        </w:numPr>
        <w:spacing w:after="60" w:line="300"/>
      </w:pPr>
      <w:r>
        <w:t xml:space="preserve">The Courage to Teach, Parker Palmer</w:t>
      </w:r>
    </w:p>
    <w:p>
      <w:pPr>
        <w:pStyle w:val="ListParagraph"/>
        <w:numPr>
          <w:ilvl w:val="0"/>
          <w:numId w:val="2"/>
        </w:numPr>
        <w:spacing w:after="60" w:line="300"/>
      </w:pPr>
      <w:r>
        <w:t xml:space="preserve">Simple Church, Thom Rainer and Eric Geiger</w:t>
      </w:r>
    </w:p>
    <w:p>
      <w:pPr>
        <w:pStyle w:val="ListParagraph"/>
        <w:numPr>
          <w:ilvl w:val="0"/>
          <w:numId w:val="2"/>
        </w:numPr>
        <w:spacing w:after="60" w:line="300"/>
      </w:pPr>
      <w:r>
        <w:t xml:space="preserve">Essential Church?, Thom Rainer and Sam Rainer</w:t>
      </w:r>
    </w:p>
    <w:p>
      <w:pPr>
        <w:pStyle w:val="ListParagraph"/>
        <w:numPr>
          <w:ilvl w:val="0"/>
          <w:numId w:val="2"/>
        </w:numPr>
        <w:spacing w:after="60" w:line="300"/>
      </w:pPr>
      <w:r>
        <w:t xml:space="preserve">God Dreams, Will Mancini and Warren Bird</w:t>
      </w:r>
    </w:p>
    <w:p>
      <w:pPr>
        <w:pStyle w:val="ListParagraph"/>
        <w:numPr>
          <w:ilvl w:val="0"/>
          <w:numId w:val="2"/>
        </w:numPr>
        <w:spacing w:after="60" w:line="300"/>
      </w:pPr>
      <w:r>
        <w:t xml:space="preserve">The Power of Vision, George Barna</w:t>
      </w:r>
    </w:p>
    <w:p>
      <w:pPr>
        <w:pStyle w:val="ListParagraph"/>
        <w:numPr>
          <w:ilvl w:val="0"/>
          <w:numId w:val="2"/>
        </w:numPr>
        <w:spacing w:after="60" w:line="300"/>
      </w:pPr>
      <w:r>
        <w:t xml:space="preserve">Visioneering, Andy Stanley</w:t>
      </w:r>
    </w:p>
    <w:p>
      <w:pPr>
        <w:pStyle w:val="ListParagraph"/>
        <w:numPr>
          <w:ilvl w:val="0"/>
          <w:numId w:val="2"/>
        </w:numPr>
        <w:spacing w:after="60" w:line="300"/>
      </w:pPr>
      <w:r>
        <w:t xml:space="preserve">Learning Change, Jim Herrington and Trisha Taylor</w:t>
      </w:r>
    </w:p>
    <w:p>
      <w:pPr>
        <w:pStyle w:val="ListParagraph"/>
        <w:numPr>
          <w:ilvl w:val="0"/>
          <w:numId w:val="2"/>
        </w:numPr>
        <w:spacing w:after="60" w:line="300"/>
      </w:pPr>
      <w:r>
        <w:t xml:space="preserve">Discovering God's Future For Your Church, Lewis Center for Church Leadership (toolkit)</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3BF" w:sz="4" w:space="6"/>
      </w:pBdr>
    </w:pPr>
    <w:r>
      <w:rPr>
        <w:color w:val="8A8372"/>
        <w:sz w:val="15"/>
        <w:szCs w:val="15"/>
      </w:rPr>
      <w:t xml:space="preserve">Running a Congregational Vision Process   ·   Spanish Fort UMC   ·   Shared through the Church Resource Hub, churchresourcehub.github.io   ·   Page </w:t>
    </w:r>
    <w:r>
      <w:rPr>
        <w:color w:val="8A8372"/>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abstractNum>
  <w:abstractNum w:abstractNumId="3" w15:restartNumberingAfterBreak="0">
    <w:multiLevelType w:val="hybridMultilevel"/>
    <w:lvl w:ilvl="0" w15:tentative="1">
      <w:start w:val="1"/>
      <w:numFmt w:val="decimal"/>
      <w:lvlText w:val="%1."/>
      <w:lvlJc w:val="left"/>
      <w:pPr>
        <w:ind w:left="600" w:hanging="28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qFormat/>
    <w:pPr>
      <w:spacing w:after="80"/>
      <w:outlineLvl w:val="0"/>
    </w:pPr>
    <w:rPr>
      <w:rFonts w:ascii="Georgia" w:cs="Georgia" w:eastAsia="Georgia" w:hAnsi="Georgia"/>
      <w:b/>
      <w:bCs/>
      <w:color w:val="38332A"/>
      <w:sz w:val="40"/>
      <w:szCs w:val="40"/>
    </w:rPr>
  </w:style>
  <w:style w:type="paragraph" w:styleId="Heading1">
    <w:name w:val="Heading 1"/>
    <w:basedOn w:val="Normal"/>
    <w:next w:val="Normal"/>
    <w:qFormat/>
    <w:pPr>
      <w:spacing w:after="120" w:before="280"/>
      <w:outlineLvl w:val="0"/>
    </w:pPr>
    <w:rPr>
      <w:rFonts w:ascii="Georgia" w:cs="Georgia" w:eastAsia="Georgia" w:hAnsi="Georgia"/>
      <w:b/>
      <w:bCs/>
      <w:color w:val="7B2D26"/>
      <w:sz w:val="28"/>
      <w:szCs w:val="28"/>
    </w:rPr>
  </w:style>
  <w:style w:type="paragraph" w:styleId="Heading2">
    <w:name w:val="Heading 2"/>
    <w:basedOn w:val="Normal"/>
    <w:next w:val="Normal"/>
    <w:qFormat/>
    <w:pPr>
      <w:spacing w:after="80" w:before="200"/>
      <w:outlineLvl w:val="1"/>
    </w:pPr>
    <w:rPr>
      <w:rFonts w:ascii="Georgia" w:cs="Georgia" w:eastAsia="Georgia" w:hAnsi="Georgia"/>
      <w:b/>
      <w:bCs/>
      <w:color w:val="5F684C"/>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2026-06-06T03:11:43.744Z</dcterms:created>
  <dcterms:modified xsi:type="dcterms:W3CDTF">2026-06-06T03:11:43.745Z</dcterms:modified>
</cp:coreProperties>
</file>

<file path=docProps/custom.xml><?xml version="1.0" encoding="utf-8"?>
<Properties xmlns="http://schemas.openxmlformats.org/officeDocument/2006/custom-properties" xmlns:vt="http://schemas.openxmlformats.org/officeDocument/2006/docPropsVTypes"/>
</file>