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7B2D26"/>
          <w:spacing w:val="30"/>
          <w:sz w:val="16"/>
          <w:szCs w:val="16"/>
        </w:rPr>
        <w:t xml:space="preserve">ADMINISTRATION · A WORKING GUIDE</w:t>
      </w:r>
    </w:p>
    <w:p>
      <w:pPr>
        <w:pStyle w:val="Title"/>
      </w:pPr>
      <w:r>
        <w:t xml:space="preserve">Forming and Running a Building or Study Committee</w:t>
      </w:r>
    </w:p>
    <w:p>
      <w:pPr>
        <w:pBdr>
          <w:bottom w:val="single" w:color="C8BDA3" w:sz="6" w:space="1"/>
        </w:pBdr>
        <w:spacing w:after="160"/>
      </w:pPr>
    </w:p>
    <w:p>
      <w:pPr>
        <w:spacing w:after="120" w:line="300"/>
      </w:pPr>
      <w:r>
        <w:rPr>
          <w:i/>
          <w:iCs/>
          <w:color w:val="6E675A"/>
        </w:rPr>
        <w:t xml:space="preserve">A reusable framework for a church facing a major facilities decision, with a 17-month planning timeline and the hard lessons one congregation learned about the economics. Drawn from Spanish Fort UMC's Building Committee.</w:t>
      </w:r>
    </w:p>
    <w:p>
      <w:pPr>
        <w:spacing w:after="120" w:line="300"/>
      </w:pPr>
      <w:r>
        <w:t xml:space="preserve">Most churches approach a building project backward: they fall in love with a plan, then form a committee to justify it. This guide assumes the opposite order. The committee exists to study honestly and recommend wisely, and its first job is to keep the congregation from committing to a number before anyone has done the math.</w:t>
      </w:r>
    </w:p>
    <w:p>
      <w:pPr>
        <w:pStyle w:val="Heading1"/>
      </w:pPr>
      <w:r>
        <w:t xml:space="preserve">Where the mandate comes from</w:t>
      </w:r>
    </w:p>
    <w:p>
      <w:pPr>
        <w:spacing w:after="120" w:line="300"/>
      </w:pPr>
      <w:r>
        <w:t xml:space="preserve">A building committee should be the answer to a question the congregation has already asked, not a project looking for support. Spanish Fort's committee was created by its Vision Team, whose final report asked the Trustees to form a committee to evaluate how the church's facilities could most effectively serve its future ministry. That lineage matters: the committee serves the church's discerned direction rather than a single leader's preference.</w:t>
      </w:r>
    </w:p>
    <w:p>
      <w:pPr>
        <w:pStyle w:val="Heading1"/>
      </w:pPr>
      <w:r>
        <w:t xml:space="preserve">Composition</w:t>
      </w:r>
    </w:p>
    <w:p>
      <w:pPr>
        <w:spacing w:after="120" w:line="300"/>
      </w:pPr>
      <w:r>
        <w:t xml:space="preserve">Recruit for the expertise the work actually requires, and let several members overlap with the vision or discernment body that created the mandate so the thread is not lost. The professional backgrounds worth seeking:</w:t>
      </w:r>
    </w:p>
    <w:p>
      <w:pPr>
        <w:pStyle w:val="ListParagraph"/>
        <w:numPr>
          <w:ilvl w:val="0"/>
          <w:numId w:val="2"/>
        </w:numPr>
        <w:spacing w:after="60" w:line="300"/>
      </w:pPr>
      <w:r>
        <w:t xml:space="preserve">Engineering or infrastructure, to read facility condition and site constraints</w:t>
      </w:r>
    </w:p>
    <w:p>
      <w:pPr>
        <w:pStyle w:val="ListParagraph"/>
        <w:numPr>
          <w:ilvl w:val="0"/>
          <w:numId w:val="2"/>
        </w:numPr>
        <w:spacing w:after="60" w:line="300"/>
      </w:pPr>
      <w:r>
        <w:t xml:space="preserve">Real estate, title, or commercial property, to test valuations and lease potential</w:t>
      </w:r>
    </w:p>
    <w:p>
      <w:pPr>
        <w:pStyle w:val="ListParagraph"/>
        <w:numPr>
          <w:ilvl w:val="0"/>
          <w:numId w:val="2"/>
        </w:numPr>
        <w:spacing w:after="60" w:line="300"/>
      </w:pPr>
      <w:r>
        <w:t xml:space="preserve">Construction or development, to sanity-check cost estimates</w:t>
      </w:r>
    </w:p>
    <w:p>
      <w:pPr>
        <w:pStyle w:val="ListParagraph"/>
        <w:numPr>
          <w:ilvl w:val="0"/>
          <w:numId w:val="2"/>
        </w:numPr>
        <w:spacing w:after="60" w:line="300"/>
      </w:pPr>
      <w:r>
        <w:t xml:space="preserve">Education, if a preschool or school component is in view</w:t>
      </w:r>
    </w:p>
    <w:p>
      <w:pPr>
        <w:pStyle w:val="ListParagraph"/>
        <w:numPr>
          <w:ilvl w:val="0"/>
          <w:numId w:val="2"/>
        </w:numPr>
        <w:spacing w:after="60" w:line="300"/>
      </w:pPr>
      <w:r>
        <w:t xml:space="preserve">A Trustees representative, to keep property stewardship connected</w:t>
      </w:r>
    </w:p>
    <w:p>
      <w:pPr>
        <w:pStyle w:val="ListParagraph"/>
        <w:numPr>
          <w:ilvl w:val="0"/>
          <w:numId w:val="2"/>
        </w:numPr>
        <w:spacing w:after="60" w:line="300"/>
      </w:pPr>
      <w:r>
        <w:t xml:space="preserve">The senior pastor, to keep ministry purpose central</w:t>
      </w:r>
    </w:p>
    <w:p>
      <w:pPr>
        <w:pStyle w:val="Heading1"/>
      </w:pPr>
      <w:r>
        <w:t xml:space="preserve">The 17-month planning framework</w:t>
      </w:r>
    </w:p>
    <w:p>
      <w:pPr>
        <w:spacing w:after="120" w:line="300"/>
      </w:pPr>
      <w:r>
        <w:t xml:space="preserve">A major facilities decision should not be rushed and should not drift. This phased timeline keeps the work moving without forcing a premature decision: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c>
          <w:tcPr>
            <w:tcW w:type="dxa" w:w="17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Months 1–2</w:t>
            </w:r>
          </w:p>
        </w:tc>
        <w:tc>
          <w:tcPr>
            <w:tcW w:type="dxa" w:w="76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Financial guardrails: property valuations, net-proceeds scenarios, a debt-ceiling policy the church will hold to</w:t>
            </w:r>
          </w:p>
        </w:tc>
      </w:tr>
      <w:tr>
        <w:tc>
          <w:tcPr>
            <w:tcW w:type="dxa" w:w="17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Months 2–3</w:t>
            </w:r>
          </w:p>
        </w:tc>
        <w:tc>
          <w:tcPr>
            <w:tcW w:type="dxa" w:w="76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Facility condition walkthrough, space-utilization study, and demand analysis for any new use (such as a preschool)</w:t>
            </w:r>
          </w:p>
        </w:tc>
      </w:tr>
      <w:tr>
        <w:tc>
          <w:tcPr>
            <w:tcW w:type="dxa" w:w="17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Months 6–8</w:t>
            </w:r>
          </w:p>
        </w:tc>
        <w:tc>
          <w:tcPr>
            <w:tcW w:type="dxa" w:w="76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Generate two or three viable options with conceptual sketches and preliminary cost ranges</w:t>
            </w:r>
          </w:p>
        </w:tc>
      </w:tr>
      <w:tr>
        <w:tc>
          <w:tcPr>
            <w:tcW w:type="dxa" w:w="17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Month 11</w:t>
            </w:r>
          </w:p>
        </w:tc>
        <w:tc>
          <w:tcPr>
            <w:tcW w:type="dxa" w:w="76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Congregational listening town hall: a neutral presentation of the top options, not a sales pitch</w:t>
            </w:r>
          </w:p>
        </w:tc>
      </w:tr>
      <w:tr>
        <w:tc>
          <w:tcPr>
            <w:tcW w:type="dxa" w:w="17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Month 13</w:t>
            </w:r>
          </w:p>
        </w:tc>
        <w:tc>
          <w:tcPr>
            <w:tcW w:type="dxa" w:w="76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District Superintendent consultation (UMC Discipline requires a study committee before a major purchase or build)</w:t>
            </w:r>
          </w:p>
        </w:tc>
      </w:tr>
      <w:tr>
        <w:tc>
          <w:tcPr>
            <w:tcW w:type="dxa" w:w="17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Month 16</w:t>
            </w:r>
          </w:p>
        </w:tc>
        <w:tc>
          <w:tcPr>
            <w:tcW w:type="dxa" w:w="76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Full congregational presentation and a formal recommendation</w:t>
            </w:r>
          </w:p>
        </w:tc>
      </w:tr>
      <w:tr>
        <w:tc>
          <w:tcPr>
            <w:tcW w:type="dxa" w:w="17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Month 17</w:t>
            </w:r>
          </w:p>
        </w:tc>
        <w:tc>
          <w:tcPr>
            <w:tcW w:type="dxa" w:w="76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Decision through Church Council, Trustees, and Charge Conference; transition from study committee to project committee</w:t>
            </w:r>
          </w:p>
        </w:tc>
      </w:tr>
    </w:tbl>
    <w:p>
      <w:pPr>
        <w:pStyle w:val="Heading1"/>
      </w:pPr>
      <w:r>
        <w:t xml:space="preserve">What is not the committee's job</w:t>
      </w:r>
    </w:p>
    <w:p>
      <w:pPr>
        <w:spacing w:after="120" w:line="300"/>
      </w:pPr>
      <w:r>
        <w:t xml:space="preserve">Naming the boundaries protects the committee from the two ways these efforts usually go wrong, premature commitment and endless drift:</w:t>
      </w:r>
    </w:p>
    <w:p>
      <w:pPr>
        <w:pStyle w:val="ListParagraph"/>
        <w:numPr>
          <w:ilvl w:val="0"/>
          <w:numId w:val="2"/>
        </w:numPr>
        <w:spacing w:after="60" w:line="300"/>
      </w:pPr>
      <w:r>
        <w:t xml:space="preserve">Selecting an architect (that comes after the decision)</w:t>
      </w:r>
    </w:p>
    <w:p>
      <w:pPr>
        <w:pStyle w:val="ListParagraph"/>
        <w:numPr>
          <w:ilvl w:val="0"/>
          <w:numId w:val="2"/>
        </w:numPr>
        <w:spacing w:after="60" w:line="300"/>
      </w:pPr>
      <w:r>
        <w:t xml:space="preserve">Running a capital campaign</w:t>
      </w:r>
    </w:p>
    <w:p>
      <w:pPr>
        <w:pStyle w:val="ListParagraph"/>
        <w:numPr>
          <w:ilvl w:val="0"/>
          <w:numId w:val="2"/>
        </w:numPr>
        <w:spacing w:after="60" w:line="300"/>
      </w:pPr>
      <w:r>
        <w:t xml:space="preserve">Debating preferences without data</w:t>
      </w:r>
    </w:p>
    <w:p>
      <w:pPr>
        <w:pStyle w:val="ListParagraph"/>
        <w:numPr>
          <w:ilvl w:val="0"/>
          <w:numId w:val="2"/>
        </w:numPr>
        <w:spacing w:after="60" w:line="300"/>
      </w:pPr>
      <w:r>
        <w:t xml:space="preserve">Communicating in fragments that let rumors fill the gaps</w:t>
      </w:r>
    </w:p>
    <w:p>
      <w:pPr>
        <w:pStyle w:val="Heading1"/>
      </w:pPr>
      <w:r>
        <w:t xml:space="preserve">Decision criteria</w:t>
      </w:r>
    </w:p>
    <w:p>
      <w:pPr>
        <w:spacing w:after="120" w:line="300"/>
      </w:pPr>
      <w:r>
        <w:t xml:space="preserve">Hold every option against the same criteria so the comparison stays honest:</w:t>
      </w:r>
    </w:p>
    <w:p>
      <w:pPr>
        <w:pStyle w:val="ListParagraph"/>
        <w:numPr>
          <w:ilvl w:val="0"/>
          <w:numId w:val="2"/>
        </w:numPr>
        <w:spacing w:after="60" w:line="300"/>
      </w:pPr>
      <w:r>
        <w:t xml:space="preserve">Ministry impact, especially on the church's discipleship pipeline and any preschool or family ministry</w:t>
      </w:r>
    </w:p>
    <w:p>
      <w:pPr>
        <w:pStyle w:val="ListParagraph"/>
        <w:numPr>
          <w:ilvl w:val="0"/>
          <w:numId w:val="2"/>
        </w:numPr>
        <w:spacing w:after="60" w:line="300"/>
      </w:pPr>
      <w:r>
        <w:t xml:space="preserve">Safety and child check-in flow</w:t>
      </w:r>
    </w:p>
    <w:p>
      <w:pPr>
        <w:pStyle w:val="ListParagraph"/>
        <w:numPr>
          <w:ilvl w:val="0"/>
          <w:numId w:val="2"/>
        </w:numPr>
        <w:spacing w:after="60" w:line="300"/>
      </w:pPr>
      <w:r>
        <w:t xml:space="preserve">Cost and fundraising feasibility</w:t>
      </w:r>
    </w:p>
    <w:p>
      <w:pPr>
        <w:pStyle w:val="ListParagraph"/>
        <w:numPr>
          <w:ilvl w:val="0"/>
          <w:numId w:val="2"/>
        </w:numPr>
        <w:spacing w:after="60" w:line="300"/>
      </w:pPr>
      <w:r>
        <w:t xml:space="preserve">Flexibility for future growth</w:t>
      </w:r>
    </w:p>
    <w:p>
      <w:pPr>
        <w:pStyle w:val="ListParagraph"/>
        <w:numPr>
          <w:ilvl w:val="0"/>
          <w:numId w:val="2"/>
        </w:numPr>
        <w:spacing w:after="60" w:line="300"/>
      </w:pPr>
      <w:r>
        <w:t xml:space="preserve">Long-term operating cost, not just construction cost</w:t>
      </w:r>
    </w:p>
    <w:p>
      <w:pPr>
        <w:pStyle w:val="Heading1"/>
      </w:pPr>
      <w:r>
        <w:t xml:space="preserve">The hard lesson on the economics</w:t>
      </w:r>
    </w:p>
    <w:p>
      <w:pPr>
        <w:spacing w:after="120" w:line="300"/>
      </w:pPr>
      <w:r>
        <w:t xml:space="preserve">Spanish Fort began with the frame most churches start from: sell one property, use the proceeds to build a unified facility on the other. Closer analysis did not support it. A sale rarely generates enough to fund a build at the scale a church wants, and selling an income-producing property forfeits rental revenue that may be worth more over time than the lump sum.</w:t>
      </w:r>
    </w:p>
    <w:p>
      <w:pPr>
        <w:spacing w:after="120" w:line="300"/>
      </w:pPr>
      <w:r>
        <w:t xml:space="preserve">The direction that emerged instead kept the income-producing property and converted it more fully to commercial rental, financing the renovation against the rental contracts rather than against congregational giving, with a later, separate loan to build on the worship campus. The generalizable lesson is simple and worth stating plainly: model the sell-and-build math before falling in love with it. Run valuations, cap-rate income estimates, and realistic build costs side by side. The gap between optimistic and realistic numbers is often the difference between a wise project and a crippling one. Renovating existing space, or putting an underused building to revenue use, is frequently more realistic than a debt-free new build.</w:t>
      </w:r>
    </w:p>
    <w:p>
      <w:pPr>
        <w:pStyle w:val="Heading1"/>
      </w:pPr>
      <w:r>
        <w:t xml:space="preserve">How to use it</w:t>
      </w:r>
    </w:p>
    <w:p>
      <w:pPr>
        <w:pStyle w:val="ListParagraph"/>
        <w:numPr>
          <w:ilvl w:val="0"/>
          <w:numId w:val="2"/>
        </w:numPr>
        <w:spacing w:after="60" w:line="300"/>
      </w:pPr>
      <w:r>
        <w:t xml:space="preserve">Adopt the phased timeline as the committee's charter so everyone knows the cadence and the endpoint.</w:t>
      </w:r>
    </w:p>
    <w:p>
      <w:pPr>
        <w:pStyle w:val="ListParagraph"/>
        <w:numPr>
          <w:ilvl w:val="0"/>
          <w:numId w:val="2"/>
        </w:numPr>
        <w:spacing w:after="60" w:line="300"/>
      </w:pPr>
      <w:r>
        <w:t xml:space="preserve">Do the financial guardrails first. Decide your debt ceiling before you see any exciting drawings.</w:t>
      </w:r>
    </w:p>
    <w:p>
      <w:pPr>
        <w:pStyle w:val="ListParagraph"/>
        <w:numPr>
          <w:ilvl w:val="0"/>
          <w:numId w:val="2"/>
        </w:numPr>
        <w:spacing w:after="60" w:line="300"/>
      </w:pPr>
      <w:r>
        <w:t xml:space="preserve">Keep the congregation informed in full, on a schedule, rather than in fragments.</w:t>
      </w:r>
    </w:p>
    <w:p>
      <w:pPr>
        <w:pStyle w:val="ListParagraph"/>
        <w:numPr>
          <w:ilvl w:val="0"/>
          <w:numId w:val="2"/>
        </w:numPr>
        <w:spacing w:after="60" w:line="300"/>
      </w:pPr>
      <w:r>
        <w:t xml:space="preserve">Remember the committee's product is a recommendation, not a building. The building is the next committee's job.</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3BF" w:sz="4" w:space="6"/>
      </w:pBdr>
    </w:pPr>
    <w:r>
      <w:rPr>
        <w:color w:val="8A8372"/>
        <w:sz w:val="15"/>
        <w:szCs w:val="15"/>
      </w:rPr>
      <w:t xml:space="preserve">Forming and Running a Building or Study Committee   ·   Spanish Fort UMC   ·   Shared through the Church Resource Hub, churchresourcehub.github.io   ·   Page </w:t>
    </w:r>
    <w:r>
      <w:rPr>
        <w:color w:val="8A83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abstractNum w:abstractNumId="3" w15:restartNumberingAfterBreak="0">
    <w:multiLevelType w:val="hybridMultilevel"/>
    <w:lvl w:ilvl="0" w15:tentative="1">
      <w:start w:val="1"/>
      <w:numFmt w:val="decimal"/>
      <w:lvlText w:val="%1."/>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outlineLvl w:val="0"/>
    </w:pPr>
    <w:rPr>
      <w:rFonts w:ascii="Georgia" w:cs="Georgia" w:eastAsia="Georgia" w:hAnsi="Georgia"/>
      <w:b/>
      <w:bCs/>
      <w:color w:val="38332A"/>
      <w:sz w:val="40"/>
      <w:szCs w:val="40"/>
    </w:rPr>
  </w:style>
  <w:style w:type="paragraph" w:styleId="Heading1">
    <w:name w:val="Heading 1"/>
    <w:basedOn w:val="Normal"/>
    <w:next w:val="Normal"/>
    <w:qFormat/>
    <w:pPr>
      <w:spacing w:after="120" w:before="280"/>
      <w:outlineLvl w:val="0"/>
    </w:pPr>
    <w:rPr>
      <w:rFonts w:ascii="Georgia" w:cs="Georgia" w:eastAsia="Georgia" w:hAnsi="Georgia"/>
      <w:b/>
      <w:bCs/>
      <w:color w:val="7B2D26"/>
      <w:sz w:val="28"/>
      <w:szCs w:val="28"/>
    </w:rPr>
  </w:style>
  <w:style w:type="paragraph" w:styleId="Heading2">
    <w:name w:val="Heading 2"/>
    <w:basedOn w:val="Normal"/>
    <w:next w:val="Normal"/>
    <w:qFormat/>
    <w:pPr>
      <w:spacing w:after="80" w:before="200"/>
      <w:outlineLvl w:val="1"/>
    </w:pPr>
    <w:rPr>
      <w:rFonts w:ascii="Georgia" w:cs="Georgia" w:eastAsia="Georgia" w:hAnsi="Georgia"/>
      <w:b/>
      <w:bCs/>
      <w:color w:val="5F684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2026-06-06T03:11:43.756Z</dcterms:created>
  <dcterms:modified xsi:type="dcterms:W3CDTF">2026-06-06T03:11:43.756Z</dcterms:modified>
</cp:coreProperties>
</file>

<file path=docProps/custom.xml><?xml version="1.0" encoding="utf-8"?>
<Properties xmlns="http://schemas.openxmlformats.org/officeDocument/2006/custom-properties" xmlns:vt="http://schemas.openxmlformats.org/officeDocument/2006/docPropsVTypes"/>
</file>